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27" w:type="dxa"/>
        <w:jc w:val="center"/>
        <w:tblLook w:val="04A0" w:firstRow="1" w:lastRow="0" w:firstColumn="1" w:lastColumn="0" w:noHBand="0" w:noVBand="1"/>
      </w:tblPr>
      <w:tblGrid>
        <w:gridCol w:w="4813"/>
        <w:gridCol w:w="963"/>
        <w:gridCol w:w="962"/>
        <w:gridCol w:w="963"/>
        <w:gridCol w:w="963"/>
        <w:gridCol w:w="963"/>
      </w:tblGrid>
      <w:tr w:rsidR="00306AA4" w:rsidTr="00D15C46">
        <w:trPr>
          <w:trHeight w:val="850"/>
          <w:jc w:val="center"/>
        </w:trPr>
        <w:tc>
          <w:tcPr>
            <w:tcW w:w="48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993D3A" wp14:editId="7FCEAC43">
                  <wp:extent cx="1718979" cy="118364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If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67" cy="122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center"/>
              <w:rPr>
                <w:b/>
                <w:noProof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right"/>
              <w:rPr>
                <w:b/>
                <w:noProof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right"/>
              <w:rPr>
                <w:b/>
                <w:noProof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right"/>
              <w:rPr>
                <w:b/>
                <w:noProof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right"/>
              <w:rPr>
                <w:b/>
                <w:noProof/>
              </w:rPr>
            </w:pPr>
          </w:p>
        </w:tc>
        <w:tc>
          <w:tcPr>
            <w:tcW w:w="963" w:type="dxa"/>
            <w:tcBorders>
              <w:top w:val="single" w:sz="36" w:space="0" w:color="A50021"/>
              <w:left w:val="nil"/>
              <w:bottom w:val="nil"/>
              <w:right w:val="single" w:sz="36" w:space="0" w:color="A50021"/>
            </w:tcBorders>
            <w:vAlign w:val="bottom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right"/>
              <w:rPr>
                <w:b/>
                <w:noProof/>
              </w:rPr>
            </w:pPr>
          </w:p>
        </w:tc>
      </w:tr>
      <w:tr w:rsidR="00306AA4" w:rsidTr="00D15C46">
        <w:trPr>
          <w:trHeight w:val="1984"/>
          <w:jc w:val="center"/>
        </w:trPr>
        <w:tc>
          <w:tcPr>
            <w:tcW w:w="48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center"/>
              <w:rPr>
                <w:b/>
              </w:rPr>
            </w:pPr>
          </w:p>
        </w:tc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center"/>
              <w:rPr>
                <w:b/>
              </w:rPr>
            </w:pPr>
          </w:p>
          <w:p w:rsidR="00306AA4" w:rsidRDefault="00C368F8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616116" cy="6762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énérations futur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411" cy="68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AA4" w:rsidTr="00D15C46">
        <w:trPr>
          <w:trHeight w:val="3402"/>
          <w:jc w:val="center"/>
        </w:trPr>
        <w:tc>
          <w:tcPr>
            <w:tcW w:w="9627" w:type="dxa"/>
            <w:gridSpan w:val="6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sdt>
            <w:sdtPr>
              <w:rPr>
                <w:rFonts w:ascii="Century Gothic" w:hAnsi="Century Gothic"/>
                <w:b/>
                <w:color w:val="595959" w:themeColor="text1" w:themeTint="A6"/>
                <w:sz w:val="48"/>
                <w:szCs w:val="48"/>
              </w:rPr>
              <w:alias w:val="Titre "/>
              <w:tag w:val=""/>
              <w:id w:val="-1812551487"/>
              <w:placeholder>
                <w:docPart w:val="3B1EC1E0364941AEA4007B08EE6E055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06AA4" w:rsidRPr="00D02A1F" w:rsidRDefault="00306AA4" w:rsidP="00D15C46">
                <w:pPr>
                  <w:tabs>
                    <w:tab w:val="left" w:pos="0"/>
                    <w:tab w:val="left" w:pos="567"/>
                    <w:tab w:val="left" w:pos="1135"/>
                    <w:tab w:val="left" w:pos="1702"/>
                    <w:tab w:val="left" w:pos="2270"/>
                    <w:tab w:val="left" w:pos="2838"/>
                    <w:tab w:val="left" w:pos="3405"/>
                    <w:tab w:val="left" w:pos="3973"/>
                    <w:tab w:val="left" w:pos="4540"/>
                    <w:tab w:val="left" w:pos="5108"/>
                    <w:tab w:val="left" w:pos="5676"/>
                    <w:tab w:val="left" w:pos="6243"/>
                    <w:tab w:val="left" w:pos="6811"/>
                    <w:tab w:val="left" w:pos="7378"/>
                    <w:tab w:val="left" w:pos="7946"/>
                    <w:tab w:val="left" w:pos="8514"/>
                    <w:tab w:val="left" w:pos="9081"/>
                    <w:tab w:val="left" w:pos="9649"/>
                    <w:tab w:val="left" w:pos="10216"/>
                  </w:tabs>
                  <w:spacing w:after="240"/>
                  <w:jc w:val="right"/>
                  <w:rPr>
                    <w:rFonts w:ascii="Century Gothic" w:hAnsi="Century Gothic"/>
                    <w:b/>
                    <w:sz w:val="48"/>
                    <w:szCs w:val="48"/>
                  </w:rPr>
                </w:pPr>
                <w:r w:rsidRPr="00306AA4">
                  <w:rPr>
                    <w:rFonts w:ascii="Century Gothic" w:hAnsi="Century Gothic"/>
                    <w:b/>
                    <w:color w:val="595959" w:themeColor="text1" w:themeTint="A6"/>
                    <w:sz w:val="48"/>
                    <w:szCs w:val="48"/>
                  </w:rPr>
                  <w:t>L’adhésion à la poursuite et l’amplification de la politique de lutte contre les perturbateurs endocriniens</w:t>
                </w:r>
              </w:p>
            </w:sdtContent>
          </w:sdt>
        </w:tc>
      </w:tr>
      <w:tr w:rsidR="00306AA4" w:rsidTr="00D15C46">
        <w:trPr>
          <w:trHeight w:val="3402"/>
          <w:jc w:val="center"/>
        </w:trPr>
        <w:tc>
          <w:tcPr>
            <w:tcW w:w="9627" w:type="dxa"/>
            <w:gridSpan w:val="6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</w:tcPr>
          <w:p w:rsidR="00306AA4" w:rsidRPr="00D02A1F" w:rsidRDefault="00306AA4" w:rsidP="00C368F8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spacing w:before="240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6B39082" wp14:editId="21BBA2F8">
                  <wp:simplePos x="0" y="0"/>
                  <wp:positionH relativeFrom="column">
                    <wp:posOffset>-68889</wp:posOffset>
                  </wp:positionH>
                  <wp:positionV relativeFrom="paragraph">
                    <wp:posOffset>2166895</wp:posOffset>
                  </wp:positionV>
                  <wp:extent cx="6102350" cy="1428252"/>
                  <wp:effectExtent l="0" t="0" r="0" b="63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S FRANCAIS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88" r="1248" b="35407"/>
                          <a:stretch/>
                        </pic:blipFill>
                        <pic:spPr bwMode="auto">
                          <a:xfrm>
                            <a:off x="0" y="0"/>
                            <a:ext cx="6123301" cy="1433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Century Gothic" w:hAnsi="Century Gothic"/>
                  <w:color w:val="A50021"/>
                  <w:sz w:val="40"/>
                  <w:szCs w:val="40"/>
                </w:rPr>
                <w:alias w:val="Société"/>
                <w:tag w:val=""/>
                <w:id w:val="-842476945"/>
                <w:placeholder>
                  <w:docPart w:val="A537FFE05FEE43EDB4F693DE4C852A9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rPr>
                    <w:rFonts w:ascii="Century Gothic" w:hAnsi="Century Gothic"/>
                    <w:color w:val="A50021"/>
                    <w:sz w:val="40"/>
                    <w:szCs w:val="40"/>
                  </w:rPr>
                  <w:t>I</w:t>
                </w:r>
                <w:r w:rsidR="00C368F8">
                  <w:rPr>
                    <w:rFonts w:ascii="Century Gothic" w:hAnsi="Century Gothic"/>
                    <w:color w:val="A50021"/>
                    <w:sz w:val="40"/>
                    <w:szCs w:val="40"/>
                  </w:rPr>
                  <w:t>fop</w:t>
                </w:r>
              </w:sdtContent>
            </w:sdt>
            <w:r>
              <w:rPr>
                <w:rFonts w:ascii="Century Gothic" w:hAnsi="Century Gothic"/>
                <w:color w:val="A50021"/>
                <w:sz w:val="40"/>
                <w:szCs w:val="40"/>
              </w:rPr>
              <w:t xml:space="preserve"> pour </w:t>
            </w:r>
            <w:sdt>
              <w:sdtPr>
                <w:rPr>
                  <w:rFonts w:ascii="Century Gothic" w:hAnsi="Century Gothic"/>
                  <w:color w:val="A50021"/>
                  <w:sz w:val="40"/>
                  <w:szCs w:val="40"/>
                </w:rPr>
                <w:alias w:val="Objet "/>
                <w:tag w:val=""/>
                <w:id w:val="815610904"/>
                <w:placeholder>
                  <w:docPart w:val="68AF2E5906B940118222B052A9914AD0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>
                  <w:rPr>
                    <w:rFonts w:ascii="Century Gothic" w:hAnsi="Century Gothic"/>
                    <w:color w:val="A50021"/>
                    <w:sz w:val="40"/>
                    <w:szCs w:val="40"/>
                  </w:rPr>
                  <w:t>Génération</w:t>
                </w:r>
                <w:r w:rsidR="00C368F8">
                  <w:rPr>
                    <w:rFonts w:ascii="Century Gothic" w:hAnsi="Century Gothic"/>
                    <w:color w:val="A50021"/>
                    <w:sz w:val="40"/>
                    <w:szCs w:val="40"/>
                  </w:rPr>
                  <w:t>s</w:t>
                </w:r>
                <w:r>
                  <w:rPr>
                    <w:rFonts w:ascii="Century Gothic" w:hAnsi="Century Gothic"/>
                    <w:color w:val="A50021"/>
                    <w:sz w:val="40"/>
                    <w:szCs w:val="40"/>
                  </w:rPr>
                  <w:t xml:space="preserve"> Future</w:t>
                </w:r>
                <w:r w:rsidR="00C368F8">
                  <w:rPr>
                    <w:rFonts w:ascii="Century Gothic" w:hAnsi="Century Gothic"/>
                    <w:color w:val="A50021"/>
                    <w:sz w:val="40"/>
                    <w:szCs w:val="40"/>
                  </w:rPr>
                  <w:t>s</w:t>
                </w:r>
              </w:sdtContent>
            </w:sdt>
          </w:p>
        </w:tc>
      </w:tr>
      <w:tr w:rsidR="00306AA4" w:rsidTr="00D15C46">
        <w:trPr>
          <w:trHeight w:val="2268"/>
          <w:jc w:val="center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:rsidR="00306AA4" w:rsidRDefault="00306AA4" w:rsidP="00D15C46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ind w:left="-113"/>
              <w:jc w:val="center"/>
              <w:rPr>
                <w:b/>
              </w:rPr>
            </w:pPr>
          </w:p>
        </w:tc>
      </w:tr>
      <w:tr w:rsidR="00306AA4" w:rsidTr="00D15C46">
        <w:trPr>
          <w:trHeight w:val="2268"/>
          <w:jc w:val="center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:rsidR="00306AA4" w:rsidRPr="0012724E" w:rsidRDefault="00C368F8" w:rsidP="00D15C46">
            <w:pPr>
              <w:pStyle w:val="Sansinterligne"/>
              <w:ind w:left="340"/>
              <w:rPr>
                <w:rFonts w:ascii="Century Gothic" w:hAnsi="Century Gothic" w:cs="Calibri"/>
                <w:caps/>
                <w:color w:val="FFFFFF" w:themeColor="background1"/>
                <w:sz w:val="20"/>
                <w:lang w:val="en-US"/>
              </w:rPr>
            </w:pPr>
            <w:r>
              <w:rPr>
                <w:rFonts w:ascii="Century Gothic" w:hAnsi="Century Gothic" w:cs="Calibri"/>
                <w:caps/>
                <w:color w:val="FFFFFF" w:themeColor="background1"/>
                <w:sz w:val="20"/>
                <w:lang w:val="en-US"/>
              </w:rPr>
              <w:t>FG</w:t>
            </w:r>
            <w:r w:rsidR="00306AA4">
              <w:rPr>
                <w:rFonts w:ascii="Century Gothic" w:hAnsi="Century Gothic" w:cs="Calibri"/>
                <w:caps/>
                <w:color w:val="FFFFFF" w:themeColor="background1"/>
                <w:sz w:val="20"/>
                <w:lang w:val="en-US"/>
              </w:rPr>
              <w:t xml:space="preserve">/MCP </w:t>
            </w:r>
            <w:r w:rsidR="00306AA4" w:rsidRPr="0012724E">
              <w:rPr>
                <w:rFonts w:ascii="Century Gothic" w:hAnsi="Century Gothic" w:cs="Calibri"/>
                <w:caps/>
                <w:color w:val="FFFFFF" w:themeColor="background1"/>
                <w:sz w:val="20"/>
                <w:lang w:val="en-US"/>
              </w:rPr>
              <w:t xml:space="preserve"> N° </w:t>
            </w:r>
            <w:r w:rsidR="00306AA4">
              <w:rPr>
                <w:rFonts w:ascii="Century Gothic" w:hAnsi="Century Gothic" w:cs="Calibri"/>
                <w:caps/>
                <w:color w:val="FFFFFF" w:themeColor="background1"/>
                <w:sz w:val="20"/>
                <w:lang w:val="en-US"/>
              </w:rPr>
              <w:t>114792</w:t>
            </w:r>
          </w:p>
          <w:p w:rsidR="00306AA4" w:rsidRPr="008817A3" w:rsidRDefault="00306AA4" w:rsidP="00D15C46">
            <w:pPr>
              <w:pStyle w:val="Sansinterligne"/>
              <w:ind w:left="340"/>
              <w:rPr>
                <w:rFonts w:ascii="Century Gothic" w:hAnsi="Century Gothic" w:cs="Calibri"/>
                <w:caps/>
                <w:color w:val="FFFFFF" w:themeColor="background1"/>
                <w:sz w:val="20"/>
                <w:lang w:val="en-US"/>
              </w:rPr>
            </w:pPr>
            <w:r w:rsidRPr="006B2271">
              <w:rPr>
                <w:rFonts w:ascii="Century Gothic" w:hAnsi="Century Gothic" w:cs="Calibri"/>
                <w:color w:val="FFFFFF" w:themeColor="background1"/>
                <w:sz w:val="20"/>
                <w:u w:val="single"/>
                <w:lang w:val="en-US"/>
              </w:rPr>
              <w:t>Contacts Ifop</w:t>
            </w:r>
            <w:r w:rsidRPr="008817A3">
              <w:rPr>
                <w:rFonts w:ascii="Century Gothic" w:hAnsi="Century Gothic" w:cs="Calibri"/>
                <w:color w:val="FFFFFF" w:themeColor="background1"/>
                <w:sz w:val="20"/>
                <w:lang w:val="en-US"/>
              </w:rPr>
              <w:t xml:space="preserve"> </w:t>
            </w:r>
            <w:r w:rsidRPr="008817A3">
              <w:rPr>
                <w:rFonts w:ascii="Century Gothic" w:hAnsi="Century Gothic" w:cs="Calibri"/>
                <w:caps/>
                <w:color w:val="FFFFFF" w:themeColor="background1"/>
                <w:sz w:val="20"/>
                <w:lang w:val="en-US"/>
              </w:rPr>
              <w:t xml:space="preserve">: </w:t>
            </w:r>
          </w:p>
          <w:p w:rsidR="00306AA4" w:rsidRPr="00FE15C1" w:rsidRDefault="00C368F8" w:rsidP="00D15C46">
            <w:pPr>
              <w:pStyle w:val="Sansinterligne"/>
              <w:ind w:left="340"/>
              <w:rPr>
                <w:rFonts w:ascii="Century Gothic" w:hAnsi="Century Gothic" w:cs="Calibri"/>
                <w:caps/>
                <w:color w:val="FFFFFF" w:themeColor="background1"/>
                <w:sz w:val="20"/>
              </w:rPr>
            </w:pPr>
            <w:r>
              <w:rPr>
                <w:rFonts w:ascii="Century Gothic" w:hAnsi="Century Gothic" w:cs="Calibri"/>
                <w:color w:val="FFFFFF" w:themeColor="background1"/>
                <w:sz w:val="20"/>
              </w:rPr>
              <w:t>Fabienne Gomant</w:t>
            </w:r>
            <w:r w:rsidR="00306AA4">
              <w:rPr>
                <w:rFonts w:ascii="Century Gothic" w:hAnsi="Century Gothic" w:cs="Calibri"/>
                <w:color w:val="FFFFFF" w:themeColor="background1"/>
                <w:sz w:val="20"/>
              </w:rPr>
              <w:t xml:space="preserve"> / Marion Chasles-Parot</w:t>
            </w:r>
          </w:p>
          <w:p w:rsidR="00306AA4" w:rsidRPr="00FE15C1" w:rsidRDefault="00306AA4" w:rsidP="00D15C46">
            <w:pPr>
              <w:pStyle w:val="Sansinterligne"/>
              <w:ind w:left="340"/>
              <w:rPr>
                <w:rFonts w:ascii="Century Gothic" w:hAnsi="Century Gothic" w:cs="Calibri"/>
                <w:caps/>
                <w:color w:val="FFFFFF" w:themeColor="background1"/>
                <w:sz w:val="20"/>
              </w:rPr>
            </w:pPr>
            <w:r w:rsidRPr="00FE15C1">
              <w:rPr>
                <w:rFonts w:ascii="Century Gothic" w:hAnsi="Century Gothic" w:cs="Calibri"/>
                <w:color w:val="FFFFFF" w:themeColor="background1"/>
                <w:sz w:val="20"/>
              </w:rPr>
              <w:t>Département Opinion et Stratégies d'Entreprise</w:t>
            </w:r>
          </w:p>
          <w:p w:rsidR="00306AA4" w:rsidRPr="00FE15C1" w:rsidRDefault="00306AA4" w:rsidP="00D15C46">
            <w:pPr>
              <w:pStyle w:val="Sansinterligne"/>
              <w:ind w:left="340"/>
              <w:rPr>
                <w:rFonts w:ascii="Century Gothic" w:hAnsi="Century Gothic" w:cs="Calibri"/>
                <w:caps/>
                <w:color w:val="FFFFFF" w:themeColor="background1"/>
                <w:sz w:val="20"/>
              </w:rPr>
            </w:pPr>
            <w:r w:rsidRPr="00FE15C1">
              <w:rPr>
                <w:rFonts w:ascii="Century Gothic" w:hAnsi="Century Gothic" w:cs="Calibri"/>
                <w:caps/>
                <w:color w:val="FFFFFF" w:themeColor="background1"/>
                <w:sz w:val="20"/>
              </w:rPr>
              <w:t>Tél : 01 45 84 14 44</w:t>
            </w:r>
          </w:p>
          <w:p w:rsidR="00306AA4" w:rsidRDefault="00306AA4" w:rsidP="00D15C46">
            <w:pPr>
              <w:pStyle w:val="Sansinterligne"/>
              <w:ind w:left="340"/>
              <w:rPr>
                <w:rFonts w:ascii="Century Gothic" w:hAnsi="Century Gothic" w:cs="Calibri"/>
                <w:color w:val="FFFFFF" w:themeColor="background1"/>
                <w:sz w:val="20"/>
              </w:rPr>
            </w:pPr>
            <w:r w:rsidRPr="006B2271">
              <w:rPr>
                <w:rFonts w:ascii="Century Gothic" w:hAnsi="Century Gothic" w:cs="Calibri"/>
                <w:color w:val="FFFFFF" w:themeColor="background1"/>
                <w:sz w:val="20"/>
              </w:rPr>
              <w:t>prenom.nom@ifop.com</w:t>
            </w:r>
          </w:p>
          <w:p w:rsidR="00306AA4" w:rsidRPr="006B2271" w:rsidRDefault="00306AA4" w:rsidP="00D15C46">
            <w:pPr>
              <w:pStyle w:val="Sansinterligne"/>
              <w:ind w:left="340"/>
              <w:rPr>
                <w:rFonts w:ascii="Century Gothic" w:hAnsi="Century Gothic" w:cs="Calibri"/>
                <w:b/>
                <w:caps/>
                <w:color w:val="FFFFFF" w:themeColor="background1"/>
                <w:sz w:val="20"/>
              </w:rPr>
            </w:pPr>
            <w:r w:rsidRPr="006B2271">
              <w:rPr>
                <w:rFonts w:ascii="Century Gothic" w:hAnsi="Century Gothic" w:cs="Calibri"/>
                <w:b/>
                <w:caps/>
                <w:color w:val="FFFFFF" w:themeColor="background1"/>
                <w:sz w:val="20"/>
              </w:rPr>
              <w:fldChar w:fldCharType="begin"/>
            </w:r>
            <w:r w:rsidRPr="006B2271">
              <w:rPr>
                <w:rFonts w:ascii="Century Gothic" w:hAnsi="Century Gothic" w:cs="Calibri"/>
                <w:b/>
                <w:caps/>
                <w:color w:val="FFFFFF" w:themeColor="background1"/>
                <w:sz w:val="20"/>
              </w:rPr>
              <w:instrText xml:space="preserve"> DATE  \@ "MMMM yyyy"  \* MERGEFORMAT </w:instrText>
            </w:r>
            <w:r w:rsidRPr="006B2271">
              <w:rPr>
                <w:rFonts w:ascii="Century Gothic" w:hAnsi="Century Gothic" w:cs="Calibri"/>
                <w:b/>
                <w:caps/>
                <w:color w:val="FFFFFF" w:themeColor="background1"/>
                <w:sz w:val="20"/>
              </w:rPr>
              <w:fldChar w:fldCharType="separate"/>
            </w:r>
            <w:r w:rsidR="00534FA2">
              <w:rPr>
                <w:rFonts w:ascii="Century Gothic" w:hAnsi="Century Gothic" w:cs="Calibri"/>
                <w:b/>
                <w:caps/>
                <w:noProof/>
                <w:color w:val="FFFFFF" w:themeColor="background1"/>
                <w:sz w:val="20"/>
              </w:rPr>
              <w:t>juin</w:t>
            </w:r>
            <w:r w:rsidR="00534FA2" w:rsidRPr="00534FA2">
              <w:rPr>
                <w:rFonts w:ascii="Century Gothic" w:hAnsi="Century Gothic" w:cs="Calibri"/>
                <w:b/>
                <w:caps/>
                <w:noProof/>
                <w:color w:val="FFFFFF" w:themeColor="background1"/>
                <w:sz w:val="20"/>
                <w:lang w:val="en-US"/>
              </w:rPr>
              <w:t xml:space="preserve"> 2017</w:t>
            </w:r>
            <w:r w:rsidRPr="006B2271">
              <w:rPr>
                <w:rFonts w:ascii="Century Gothic" w:hAnsi="Century Gothic" w:cs="Calibri"/>
                <w:b/>
                <w:caps/>
                <w:color w:val="FFFFFF" w:themeColor="background1"/>
                <w:sz w:val="20"/>
                <w:lang w:val="en-US"/>
              </w:rPr>
              <w:fldChar w:fldCharType="end"/>
            </w:r>
          </w:p>
        </w:tc>
      </w:tr>
    </w:tbl>
    <w:p w:rsidR="00306AA4" w:rsidRDefault="00306AA4" w:rsidP="00306AA4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306AA4" w:rsidRDefault="00306AA4" w:rsidP="00306AA4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  <w:sectPr w:rsidR="00306AA4" w:rsidSect="00F53391">
          <w:footerReference w:type="default" r:id="rId11"/>
          <w:pgSz w:w="11905" w:h="16837" w:code="9"/>
          <w:pgMar w:top="1134" w:right="1134" w:bottom="567" w:left="1134" w:header="567" w:footer="567" w:gutter="0"/>
          <w:pgNumType w:start="1"/>
          <w:cols w:space="708"/>
          <w:titlePg/>
          <w:docGrid w:linePitch="360"/>
        </w:sectPr>
      </w:pPr>
    </w:p>
    <w:p w:rsidR="00C368F8" w:rsidRDefault="00C368F8" w:rsidP="00306AA4">
      <w:pPr>
        <w:jc w:val="center"/>
        <w:rPr>
          <w:b/>
          <w:color w:val="800000"/>
          <w:sz w:val="40"/>
          <w:szCs w:val="40"/>
        </w:rPr>
        <w:sectPr w:rsidR="00C368F8" w:rsidSect="00F53391">
          <w:footerReference w:type="first" r:id="rId12"/>
          <w:pgSz w:w="11905" w:h="16837" w:code="9"/>
          <w:pgMar w:top="1134" w:right="1134" w:bottom="567" w:left="1134" w:header="567" w:footer="567" w:gutter="0"/>
          <w:pgNumType w:start="1"/>
          <w:cols w:space="708"/>
          <w:titlePg/>
          <w:docGrid w:linePitch="360"/>
        </w:sectPr>
      </w:pPr>
    </w:p>
    <w:p w:rsidR="00C368F8" w:rsidRDefault="00C368F8" w:rsidP="00306AA4">
      <w:pPr>
        <w:jc w:val="center"/>
        <w:rPr>
          <w:b/>
          <w:color w:val="800000"/>
          <w:sz w:val="40"/>
          <w:szCs w:val="40"/>
        </w:rPr>
      </w:pPr>
    </w:p>
    <w:p w:rsidR="00C368F8" w:rsidRDefault="00C368F8" w:rsidP="00306AA4">
      <w:pPr>
        <w:jc w:val="center"/>
        <w:rPr>
          <w:b/>
          <w:color w:val="800000"/>
          <w:sz w:val="40"/>
          <w:szCs w:val="40"/>
        </w:rPr>
      </w:pPr>
    </w:p>
    <w:p w:rsidR="00C368F8" w:rsidRDefault="00C368F8" w:rsidP="00306AA4">
      <w:pPr>
        <w:jc w:val="center"/>
        <w:rPr>
          <w:b/>
          <w:color w:val="800000"/>
          <w:sz w:val="40"/>
          <w:szCs w:val="40"/>
        </w:rPr>
      </w:pPr>
    </w:p>
    <w:p w:rsidR="00C368F8" w:rsidRDefault="00C368F8" w:rsidP="00306AA4">
      <w:pPr>
        <w:jc w:val="center"/>
        <w:rPr>
          <w:b/>
          <w:color w:val="800000"/>
          <w:sz w:val="40"/>
          <w:szCs w:val="40"/>
        </w:rPr>
      </w:pPr>
    </w:p>
    <w:p w:rsidR="00C368F8" w:rsidRDefault="00C368F8" w:rsidP="00306AA4">
      <w:pPr>
        <w:jc w:val="center"/>
        <w:rPr>
          <w:b/>
          <w:color w:val="800000"/>
          <w:sz w:val="40"/>
          <w:szCs w:val="40"/>
        </w:rPr>
      </w:pPr>
    </w:p>
    <w:p w:rsidR="00C368F8" w:rsidRDefault="00C368F8" w:rsidP="00306AA4">
      <w:pPr>
        <w:jc w:val="center"/>
        <w:rPr>
          <w:b/>
          <w:color w:val="800000"/>
          <w:sz w:val="40"/>
          <w:szCs w:val="40"/>
        </w:rPr>
      </w:pPr>
    </w:p>
    <w:p w:rsidR="00C368F8" w:rsidRDefault="00C368F8" w:rsidP="00306AA4">
      <w:pPr>
        <w:jc w:val="center"/>
        <w:rPr>
          <w:b/>
          <w:color w:val="800000"/>
          <w:sz w:val="40"/>
          <w:szCs w:val="40"/>
        </w:rPr>
      </w:pPr>
    </w:p>
    <w:p w:rsidR="00306AA4" w:rsidRPr="00EC790F" w:rsidRDefault="00306AA4" w:rsidP="00306AA4">
      <w:pPr>
        <w:jc w:val="center"/>
        <w:rPr>
          <w:b/>
          <w:color w:val="800000"/>
          <w:sz w:val="40"/>
          <w:szCs w:val="40"/>
        </w:rPr>
      </w:pPr>
      <w:r w:rsidRPr="00EC790F">
        <w:rPr>
          <w:b/>
          <w:color w:val="800000"/>
          <w:sz w:val="40"/>
          <w:szCs w:val="40"/>
        </w:rPr>
        <w:t>Sommaire</w:t>
      </w:r>
    </w:p>
    <w:p w:rsidR="00306AA4" w:rsidRDefault="00306AA4" w:rsidP="00306AA4"/>
    <w:p w:rsidR="00306AA4" w:rsidRDefault="00306AA4" w:rsidP="00306AA4"/>
    <w:p w:rsidR="00306AA4" w:rsidRDefault="00306AA4" w:rsidP="00306AA4"/>
    <w:p w:rsidR="00306AA4" w:rsidRDefault="00306AA4" w:rsidP="00306AA4"/>
    <w:p w:rsidR="00306AA4" w:rsidRDefault="00306AA4" w:rsidP="00306AA4"/>
    <w:p w:rsidR="00306AA4" w:rsidRPr="00F06D3F" w:rsidRDefault="00306AA4" w:rsidP="00306AA4"/>
    <w:p w:rsidR="00F53391" w:rsidRDefault="00306AA4" w:rsidP="00F53391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i/>
        </w:rPr>
        <w:fldChar w:fldCharType="begin"/>
      </w:r>
      <w:r>
        <w:rPr>
          <w:i/>
        </w:rPr>
        <w:instrText xml:space="preserve"> TOC \o "1-3" \h \z \u </w:instrText>
      </w:r>
      <w:r>
        <w:rPr>
          <w:i/>
        </w:rPr>
        <w:fldChar w:fldCharType="separate"/>
      </w:r>
      <w:hyperlink w:anchor="_Toc485630843" w:history="1">
        <w:r w:rsidR="00F53391" w:rsidRPr="005832A8">
          <w:rPr>
            <w:rStyle w:val="Lienhypertexte"/>
            <w:noProof/>
          </w:rPr>
          <w:t>- 1 -  La méthodologie</w:t>
        </w:r>
        <w:r w:rsidR="00F53391">
          <w:rPr>
            <w:noProof/>
            <w:webHidden/>
          </w:rPr>
          <w:tab/>
        </w:r>
        <w:r w:rsidR="00F53391">
          <w:rPr>
            <w:noProof/>
            <w:webHidden/>
          </w:rPr>
          <w:fldChar w:fldCharType="begin"/>
        </w:r>
        <w:r w:rsidR="00F53391">
          <w:rPr>
            <w:noProof/>
            <w:webHidden/>
          </w:rPr>
          <w:instrText xml:space="preserve"> PAGEREF _Toc485630843 \h </w:instrText>
        </w:r>
        <w:r w:rsidR="00F53391">
          <w:rPr>
            <w:noProof/>
            <w:webHidden/>
          </w:rPr>
        </w:r>
        <w:r w:rsidR="00F53391">
          <w:rPr>
            <w:noProof/>
            <w:webHidden/>
          </w:rPr>
          <w:fldChar w:fldCharType="separate"/>
        </w:r>
        <w:r w:rsidR="00F53391">
          <w:rPr>
            <w:noProof/>
            <w:webHidden/>
          </w:rPr>
          <w:t>1</w:t>
        </w:r>
        <w:r w:rsidR="00F53391">
          <w:rPr>
            <w:noProof/>
            <w:webHidden/>
          </w:rPr>
          <w:fldChar w:fldCharType="end"/>
        </w:r>
      </w:hyperlink>
    </w:p>
    <w:p w:rsidR="00F53391" w:rsidRDefault="002B283B" w:rsidP="00F53391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5630844" w:history="1">
        <w:r w:rsidR="00F53391" w:rsidRPr="005832A8">
          <w:rPr>
            <w:rStyle w:val="Lienhypertexte"/>
            <w:noProof/>
          </w:rPr>
          <w:t>- 2 -  Les résultats de l'étude</w:t>
        </w:r>
        <w:r w:rsidR="00F53391">
          <w:rPr>
            <w:noProof/>
            <w:webHidden/>
          </w:rPr>
          <w:tab/>
        </w:r>
        <w:r w:rsidR="00F53391">
          <w:rPr>
            <w:noProof/>
            <w:webHidden/>
          </w:rPr>
          <w:fldChar w:fldCharType="begin"/>
        </w:r>
        <w:r w:rsidR="00F53391">
          <w:rPr>
            <w:noProof/>
            <w:webHidden/>
          </w:rPr>
          <w:instrText xml:space="preserve"> PAGEREF _Toc485630844 \h </w:instrText>
        </w:r>
        <w:r w:rsidR="00F53391">
          <w:rPr>
            <w:noProof/>
            <w:webHidden/>
          </w:rPr>
        </w:r>
        <w:r w:rsidR="00F53391">
          <w:rPr>
            <w:noProof/>
            <w:webHidden/>
          </w:rPr>
          <w:fldChar w:fldCharType="separate"/>
        </w:r>
        <w:r w:rsidR="00F53391">
          <w:rPr>
            <w:noProof/>
            <w:webHidden/>
          </w:rPr>
          <w:t>4</w:t>
        </w:r>
        <w:r w:rsidR="00F53391">
          <w:rPr>
            <w:noProof/>
            <w:webHidden/>
          </w:rPr>
          <w:fldChar w:fldCharType="end"/>
        </w:r>
      </w:hyperlink>
    </w:p>
    <w:p w:rsidR="00F53391" w:rsidRDefault="002B283B">
      <w:pPr>
        <w:pStyle w:val="TM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5630845" w:history="1">
        <w:r w:rsidR="00F53391" w:rsidRPr="005832A8">
          <w:rPr>
            <w:rStyle w:val="Lienhypertexte"/>
            <w:noProof/>
          </w:rPr>
          <w:t>L’adhésion à la poursuite et l’amplification de la politique de lutte contre les perturbateurs endocriniens</w:t>
        </w:r>
        <w:r w:rsidR="00F53391">
          <w:rPr>
            <w:noProof/>
            <w:webHidden/>
          </w:rPr>
          <w:tab/>
        </w:r>
        <w:r w:rsidR="00F53391">
          <w:rPr>
            <w:noProof/>
            <w:webHidden/>
          </w:rPr>
          <w:fldChar w:fldCharType="begin"/>
        </w:r>
        <w:r w:rsidR="00F53391">
          <w:rPr>
            <w:noProof/>
            <w:webHidden/>
          </w:rPr>
          <w:instrText xml:space="preserve"> PAGEREF _Toc485630845 \h </w:instrText>
        </w:r>
        <w:r w:rsidR="00F53391">
          <w:rPr>
            <w:noProof/>
            <w:webHidden/>
          </w:rPr>
        </w:r>
        <w:r w:rsidR="00F53391">
          <w:rPr>
            <w:noProof/>
            <w:webHidden/>
          </w:rPr>
          <w:fldChar w:fldCharType="separate"/>
        </w:r>
        <w:r w:rsidR="00F53391">
          <w:rPr>
            <w:noProof/>
            <w:webHidden/>
          </w:rPr>
          <w:t>5</w:t>
        </w:r>
        <w:r w:rsidR="00F53391">
          <w:rPr>
            <w:noProof/>
            <w:webHidden/>
          </w:rPr>
          <w:fldChar w:fldCharType="end"/>
        </w:r>
      </w:hyperlink>
    </w:p>
    <w:p w:rsidR="00306AA4" w:rsidRDefault="00306AA4" w:rsidP="00306AA4">
      <w:pPr>
        <w:pStyle w:val="ifop"/>
        <w:jc w:val="right"/>
        <w:rPr>
          <w:i/>
          <w:sz w:val="28"/>
          <w:szCs w:val="20"/>
        </w:rPr>
      </w:pPr>
      <w:r>
        <w:rPr>
          <w:rFonts w:ascii="Calibri" w:eastAsia="Calibri" w:hAnsi="Calibri" w:cs="Calibri"/>
          <w:b/>
          <w:i/>
          <w:sz w:val="28"/>
          <w:szCs w:val="20"/>
        </w:rPr>
        <w:fldChar w:fldCharType="end"/>
      </w:r>
    </w:p>
    <w:p w:rsidR="00306AA4" w:rsidRDefault="00306AA4" w:rsidP="00306AA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center"/>
        <w:rPr>
          <w:b/>
          <w:sz w:val="50"/>
        </w:rPr>
        <w:sectPr w:rsidR="00306AA4" w:rsidSect="00C368F8">
          <w:type w:val="continuous"/>
          <w:pgSz w:w="11905" w:h="16837" w:code="9"/>
          <w:pgMar w:top="1134" w:right="1134" w:bottom="567" w:left="1134" w:header="567" w:footer="567" w:gutter="0"/>
          <w:pgNumType w:start="1"/>
          <w:cols w:space="708"/>
          <w:vAlign w:val="center"/>
          <w:titlePg/>
          <w:docGrid w:linePitch="360"/>
        </w:sectPr>
      </w:pPr>
    </w:p>
    <w:p w:rsidR="00306AA4" w:rsidRDefault="00306AA4" w:rsidP="00306AA4">
      <w:pPr>
        <w:pStyle w:val="Titre1"/>
        <w:sectPr w:rsidR="00306AA4" w:rsidSect="00F53391">
          <w:footerReference w:type="default" r:id="rId13"/>
          <w:pgSz w:w="11905" w:h="16837" w:code="9"/>
          <w:pgMar w:top="1134" w:right="1134" w:bottom="567" w:left="1134" w:header="567" w:footer="567" w:gutter="0"/>
          <w:pgNumType w:start="1"/>
          <w:cols w:space="708"/>
          <w:vAlign w:val="center"/>
          <w:docGrid w:linePitch="360"/>
        </w:sectPr>
      </w:pPr>
      <w:bookmarkStart w:id="0" w:name="_Toc485630843"/>
      <w:r>
        <w:lastRenderedPageBreak/>
        <w:t>- 1 -</w:t>
      </w:r>
      <w:r>
        <w:br w:type="textWrapping" w:clear="left"/>
      </w:r>
      <w:r>
        <w:br w:type="textWrapping" w:clear="left"/>
        <w:t>La méthodologie</w:t>
      </w:r>
      <w:bookmarkEnd w:id="0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595959" w:themeColor="text1" w:themeTint="A6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306AA4" w:rsidRPr="00BD5425" w:rsidTr="00D15C46">
        <w:trPr>
          <w:jc w:val="center"/>
        </w:trPr>
        <w:tc>
          <w:tcPr>
            <w:tcW w:w="9627" w:type="dxa"/>
            <w:tcBorders>
              <w:top w:val="nil"/>
              <w:bottom w:val="single" w:sz="12" w:space="0" w:color="595959" w:themeColor="text1" w:themeTint="A6"/>
            </w:tcBorders>
          </w:tcPr>
          <w:p w:rsidR="00306AA4" w:rsidRPr="00BD5425" w:rsidRDefault="00306AA4" w:rsidP="00D15C46">
            <w:pPr>
              <w:spacing w:before="120" w:after="120"/>
              <w:jc w:val="center"/>
              <w:rPr>
                <w:b/>
                <w:bCs/>
                <w:color w:val="595959" w:themeColor="text1" w:themeTint="A6"/>
                <w:sz w:val="40"/>
                <w:szCs w:val="40"/>
              </w:rPr>
            </w:pPr>
            <w:r w:rsidRPr="00BD5425">
              <w:rPr>
                <w:b/>
                <w:bCs/>
                <w:color w:val="595959" w:themeColor="text1" w:themeTint="A6"/>
                <w:sz w:val="40"/>
                <w:szCs w:val="40"/>
              </w:rPr>
              <w:lastRenderedPageBreak/>
              <w:t>Méthodologie</w:t>
            </w:r>
          </w:p>
        </w:tc>
      </w:tr>
    </w:tbl>
    <w:p w:rsidR="00306AA4" w:rsidRDefault="00306AA4" w:rsidP="00306AA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</w:pPr>
    </w:p>
    <w:p w:rsidR="00306AA4" w:rsidRDefault="00306AA4" w:rsidP="00306AA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306AA4" w:rsidRDefault="00306AA4" w:rsidP="00306AA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306AA4" w:rsidRPr="001C79A1" w:rsidRDefault="00306AA4" w:rsidP="00306AA4">
      <w:pPr>
        <w:pStyle w:val="Corpsdetexte"/>
        <w:rPr>
          <w:sz w:val="26"/>
          <w:szCs w:val="26"/>
        </w:rPr>
      </w:pPr>
      <w:r w:rsidRPr="001C79A1">
        <w:rPr>
          <w:sz w:val="26"/>
          <w:szCs w:val="26"/>
        </w:rPr>
        <w:t xml:space="preserve">Ce document présente les résultats d’une étude réalisée par l’Ifop. Elle respecte fidèlement les principes scientifiques et déontologiques de l’enquête par sondage. Les enseignements qu’elle indique reflètent un état de l’opinion à l’instant de sa réalisation et non pas une prédiction. </w:t>
      </w:r>
    </w:p>
    <w:p w:rsidR="00306AA4" w:rsidRDefault="00306AA4" w:rsidP="00306AA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  <w:rPr>
          <w:sz w:val="26"/>
          <w:szCs w:val="26"/>
        </w:rPr>
      </w:pPr>
    </w:p>
    <w:p w:rsidR="00306AA4" w:rsidRPr="001C79A1" w:rsidRDefault="00306AA4" w:rsidP="00306AA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  <w:rPr>
          <w:sz w:val="26"/>
          <w:szCs w:val="26"/>
        </w:rPr>
      </w:pPr>
    </w:p>
    <w:p w:rsidR="00306AA4" w:rsidRPr="001C79A1" w:rsidRDefault="00306AA4" w:rsidP="00306AA4">
      <w:pPr>
        <w:jc w:val="both"/>
        <w:rPr>
          <w:sz w:val="26"/>
          <w:szCs w:val="26"/>
        </w:rPr>
      </w:pPr>
      <w:r w:rsidRPr="001C79A1">
        <w:rPr>
          <w:sz w:val="26"/>
          <w:szCs w:val="26"/>
        </w:rPr>
        <w:t>Aucune publication totale ou partielle ne peut être faite sans l’accord exprès de l’Ifop.</w:t>
      </w:r>
    </w:p>
    <w:p w:rsidR="00306AA4" w:rsidRDefault="00306AA4" w:rsidP="00306AA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306AA4" w:rsidRDefault="00306AA4" w:rsidP="00306AA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tbl>
      <w:tblPr>
        <w:tblW w:w="0" w:type="auto"/>
        <w:jc w:val="center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691"/>
      </w:tblGrid>
      <w:tr w:rsidR="00306AA4" w:rsidTr="00D15C46">
        <w:trPr>
          <w:trHeight w:val="403"/>
          <w:jc w:val="center"/>
        </w:trPr>
        <w:tc>
          <w:tcPr>
            <w:tcW w:w="9526" w:type="dxa"/>
            <w:gridSpan w:val="2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hideMark/>
          </w:tcPr>
          <w:p w:rsidR="00306AA4" w:rsidRPr="006B420A" w:rsidRDefault="00306AA4" w:rsidP="00D15C46">
            <w:pPr>
              <w:spacing w:before="120" w:after="360"/>
              <w:rPr>
                <w:b/>
                <w:bCs/>
                <w:sz w:val="24"/>
              </w:rPr>
            </w:pPr>
            <w:r w:rsidRPr="001C79A1">
              <w:rPr>
                <w:b/>
                <w:color w:val="A50021"/>
                <w:sz w:val="36"/>
              </w:rPr>
              <w:t xml:space="preserve">Etude réalisée par l'Ifop pour </w:t>
            </w:r>
            <w:sdt>
              <w:sdtPr>
                <w:rPr>
                  <w:b/>
                  <w:bCs/>
                  <w:color w:val="A50021"/>
                  <w:sz w:val="36"/>
                  <w:szCs w:val="26"/>
                </w:rPr>
                <w:alias w:val="Objet "/>
                <w:tag w:val=""/>
                <w:id w:val="-1386950522"/>
                <w:placeholder>
                  <w:docPart w:val="35DC918E1F0949B598E6B9A3BA1748E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C368F8">
                  <w:rPr>
                    <w:b/>
                    <w:bCs/>
                    <w:color w:val="A50021"/>
                    <w:sz w:val="36"/>
                    <w:szCs w:val="26"/>
                  </w:rPr>
                  <w:t>Générations Futures</w:t>
                </w:r>
              </w:sdtContent>
            </w:sdt>
          </w:p>
        </w:tc>
      </w:tr>
      <w:tr w:rsidR="00306AA4" w:rsidTr="00306AA4">
        <w:trPr>
          <w:trHeight w:val="2493"/>
          <w:jc w:val="center"/>
        </w:trPr>
        <w:tc>
          <w:tcPr>
            <w:tcW w:w="2835" w:type="dxa"/>
            <w:tcBorders>
              <w:top w:val="single" w:sz="18" w:space="0" w:color="595959" w:themeColor="text1" w:themeTint="A6"/>
              <w:left w:val="nil"/>
              <w:bottom w:val="nil"/>
              <w:right w:val="nil"/>
            </w:tcBorders>
            <w:vAlign w:val="center"/>
            <w:hideMark/>
          </w:tcPr>
          <w:p w:rsidR="00306AA4" w:rsidRPr="001C79A1" w:rsidRDefault="00306AA4" w:rsidP="00D15C46">
            <w:pPr>
              <w:pStyle w:val="NormalWeb"/>
              <w:spacing w:before="120" w:beforeAutospacing="0" w:after="120" w:afterAutospacing="0" w:line="312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C79A1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Echantillon</w:t>
            </w:r>
          </w:p>
          <w:p w:rsidR="00306AA4" w:rsidRDefault="00306AA4" w:rsidP="00D15C46">
            <w:pPr>
              <w:pStyle w:val="NormalWeb"/>
              <w:spacing w:before="120" w:beforeAutospacing="0" w:after="120" w:afterAutospacing="0" w:line="312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3667D278" wp14:editId="48021F48">
                  <wp:extent cx="896190" cy="487722"/>
                  <wp:effectExtent l="0" t="0" r="0" b="762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onhomme x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90" cy="4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tcBorders>
              <w:top w:val="single" w:sz="18" w:space="0" w:color="595959" w:themeColor="text1" w:themeTint="A6"/>
              <w:left w:val="nil"/>
              <w:bottom w:val="nil"/>
              <w:right w:val="nil"/>
            </w:tcBorders>
            <w:vAlign w:val="center"/>
            <w:hideMark/>
          </w:tcPr>
          <w:p w:rsidR="00306AA4" w:rsidRPr="00306AA4" w:rsidRDefault="00306AA4" w:rsidP="00C368F8">
            <w:pPr>
              <w:pStyle w:val="NormalWeb"/>
              <w:spacing w:before="120" w:beforeAutospacing="0" w:after="120" w:afterAutospacing="0" w:line="31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6AA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 xml:space="preserve">L’enquête a été menée auprès d’un échantillon de </w:t>
            </w:r>
            <w:r w:rsidR="00C368F8" w:rsidRPr="0091556A">
              <w:rPr>
                <w:rFonts w:ascii="Calibri" w:hAnsi="Calibri" w:cs="Calibri"/>
                <w:b/>
                <w:bCs/>
                <w:color w:val="A50021"/>
                <w:kern w:val="24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color w:val="A50021"/>
                <w:kern w:val="24"/>
                <w:sz w:val="28"/>
                <w:szCs w:val="28"/>
              </w:rPr>
              <w:t>011</w:t>
            </w:r>
            <w:r w:rsidRPr="00306AA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 xml:space="preserve"> personnes, représentatif de la population française âgée de 18 ans et plus.</w:t>
            </w:r>
          </w:p>
        </w:tc>
      </w:tr>
      <w:tr w:rsidR="00306AA4" w:rsidTr="00306AA4">
        <w:trPr>
          <w:trHeight w:val="254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6AA4" w:rsidRPr="001C79A1" w:rsidRDefault="00306AA4" w:rsidP="00D15C46">
            <w:pPr>
              <w:pStyle w:val="NormalWeb"/>
              <w:spacing w:before="120" w:beforeAutospacing="0" w:after="120" w:afterAutospacing="0"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C79A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Méthodologie</w:t>
            </w:r>
          </w:p>
          <w:p w:rsidR="00306AA4" w:rsidRDefault="00306AA4" w:rsidP="00D15C46">
            <w:pPr>
              <w:pStyle w:val="NormalWeb"/>
              <w:spacing w:before="120" w:beforeAutospacing="0" w:after="120" w:afterAutospacing="0" w:line="312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1476F742" wp14:editId="32F85A3F">
                  <wp:extent cx="713294" cy="713294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ouages x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94" cy="71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6AA4" w:rsidRPr="00306AA4" w:rsidRDefault="00306AA4" w:rsidP="00D15C46">
            <w:pPr>
              <w:pStyle w:val="NormalWeb"/>
              <w:spacing w:before="120" w:beforeAutospacing="0" w:after="120" w:afterAutospacing="0" w:line="31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6AA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La représentativité de l’échantillon a été assurée par la méthode des quotas (sexe, âge, profession de la personne interrogée) après stratification par région et catégorie d’agglomération.</w:t>
            </w:r>
          </w:p>
        </w:tc>
      </w:tr>
      <w:tr w:rsidR="00306AA4" w:rsidRPr="00306AA4" w:rsidTr="00D15C46">
        <w:trPr>
          <w:trHeight w:val="19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AA4" w:rsidRPr="00306AA4" w:rsidRDefault="00306AA4" w:rsidP="00D15C46">
            <w:pPr>
              <w:pStyle w:val="NormalWeb"/>
              <w:spacing w:before="120" w:beforeAutospacing="0" w:after="120" w:afterAutospacing="0" w:line="312" w:lineRule="auto"/>
              <w:jc w:val="center"/>
              <w:rPr>
                <w:rFonts w:asciiTheme="minorHAnsi" w:eastAsia="Calibri" w:hAnsiTheme="minorHAns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306AA4">
              <w:rPr>
                <w:rFonts w:asciiTheme="minorHAnsi" w:eastAsia="Calibri" w:hAnsiTheme="minorHAns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Mode de recueil</w:t>
            </w:r>
          </w:p>
          <w:p w:rsidR="00306AA4" w:rsidRPr="00306AA4" w:rsidRDefault="00306AA4" w:rsidP="00D15C46">
            <w:pPr>
              <w:pStyle w:val="NormalWeb"/>
              <w:spacing w:before="120" w:beforeAutospacing="0" w:after="120" w:afterAutospacing="0" w:line="312" w:lineRule="auto"/>
              <w:jc w:val="center"/>
              <w:rPr>
                <w:rFonts w:asciiTheme="minorHAnsi" w:eastAsia="Times New Roman" w:hAnsiTheme="minorHAnsi" w:cs="Arial"/>
                <w:sz w:val="28"/>
                <w:szCs w:val="28"/>
              </w:rPr>
            </w:pPr>
            <w:r w:rsidRPr="00306AA4">
              <w:rPr>
                <w:rFonts w:asciiTheme="minorHAnsi" w:eastAsia="Times New Roman" w:hAnsiTheme="minorHAnsi" w:cs="Arial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CAAF05C" wp14:editId="44D3F295">
                  <wp:extent cx="585382" cy="556895"/>
                  <wp:effectExtent l="0" t="0" r="571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cueil x3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05" t="1681"/>
                          <a:stretch/>
                        </pic:blipFill>
                        <pic:spPr bwMode="auto">
                          <a:xfrm>
                            <a:off x="0" y="0"/>
                            <a:ext cx="585958" cy="557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AA4" w:rsidRPr="00306AA4" w:rsidRDefault="00306AA4" w:rsidP="00C368F8">
            <w:pPr>
              <w:pStyle w:val="NormalWeb"/>
              <w:spacing w:before="120" w:beforeAutospacing="0" w:after="120" w:afterAutospacing="0" w:line="312" w:lineRule="auto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306AA4">
              <w:rPr>
                <w:rFonts w:asciiTheme="minorHAnsi" w:hAnsiTheme="minorHAnsi" w:cs="Calibri"/>
                <w:color w:val="000000" w:themeColor="text1"/>
                <w:kern w:val="24"/>
                <w:sz w:val="28"/>
                <w:szCs w:val="28"/>
              </w:rPr>
              <w:t xml:space="preserve">Les interviews ont été réalisées par </w:t>
            </w:r>
            <w:r w:rsidR="00C368F8">
              <w:rPr>
                <w:rFonts w:asciiTheme="minorHAnsi" w:hAnsiTheme="minorHAnsi" w:cs="Calibri"/>
                <w:color w:val="000000" w:themeColor="text1"/>
                <w:kern w:val="24"/>
                <w:sz w:val="28"/>
                <w:szCs w:val="28"/>
              </w:rPr>
              <w:t>questionnaire auto-administré en ligne</w:t>
            </w:r>
            <w:r w:rsidRPr="00306AA4">
              <w:rPr>
                <w:rFonts w:asciiTheme="minorHAnsi" w:hAnsiTheme="minorHAnsi" w:cs="Calibri"/>
                <w:color w:val="000000" w:themeColor="text1"/>
                <w:kern w:val="24"/>
                <w:sz w:val="28"/>
                <w:szCs w:val="28"/>
              </w:rPr>
              <w:t xml:space="preserve"> du </w:t>
            </w:r>
            <w:r w:rsidRPr="00306AA4">
              <w:rPr>
                <w:rFonts w:asciiTheme="minorHAnsi" w:hAnsiTheme="minorHAnsi"/>
                <w:sz w:val="26"/>
              </w:rPr>
              <w:t>15 au 16 juin 2017</w:t>
            </w:r>
            <w:r w:rsidRPr="00306AA4">
              <w:rPr>
                <w:rFonts w:asciiTheme="minorHAnsi" w:hAnsiTheme="minorHAnsi" w:cs="Calibri"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</w:tr>
    </w:tbl>
    <w:p w:rsidR="00306AA4" w:rsidRPr="00306AA4" w:rsidRDefault="00306AA4" w:rsidP="00306AA4">
      <w:pPr>
        <w:rPr>
          <w:rFonts w:asciiTheme="minorHAnsi" w:hAnsiTheme="minorHAnsi"/>
          <w:sz w:val="24"/>
        </w:rPr>
      </w:pPr>
    </w:p>
    <w:p w:rsidR="00306AA4" w:rsidRDefault="00306AA4" w:rsidP="00306AA4">
      <w:pPr>
        <w:rPr>
          <w:sz w:val="24"/>
        </w:rPr>
      </w:pPr>
      <w:r>
        <w:rPr>
          <w:sz w:val="24"/>
        </w:rPr>
        <w:br w:type="page"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595959" w:themeColor="text1" w:themeTint="A6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306AA4" w:rsidTr="00D15C46">
        <w:trPr>
          <w:jc w:val="center"/>
        </w:trPr>
        <w:tc>
          <w:tcPr>
            <w:tcW w:w="9627" w:type="dxa"/>
          </w:tcPr>
          <w:p w:rsidR="00306AA4" w:rsidRDefault="00306AA4" w:rsidP="00D15C46">
            <w:pPr>
              <w:spacing w:before="120" w:after="120"/>
              <w:jc w:val="center"/>
              <w:rPr>
                <w:b/>
                <w:bCs/>
                <w:color w:val="595959" w:themeColor="text1" w:themeTint="A6"/>
                <w:sz w:val="40"/>
                <w:szCs w:val="40"/>
              </w:rPr>
            </w:pPr>
            <w:r w:rsidRPr="00EF3FF8">
              <w:rPr>
                <w:b/>
                <w:bCs/>
                <w:color w:val="595959" w:themeColor="text1" w:themeTint="A6"/>
                <w:sz w:val="40"/>
                <w:szCs w:val="40"/>
              </w:rPr>
              <w:lastRenderedPageBreak/>
              <w:t>Précision relative aux marges d’erreur</w:t>
            </w:r>
          </w:p>
        </w:tc>
      </w:tr>
    </w:tbl>
    <w:p w:rsidR="00306AA4" w:rsidRPr="00A25CB3" w:rsidRDefault="00306AA4" w:rsidP="00306AA4">
      <w:pPr>
        <w:jc w:val="both"/>
        <w:rPr>
          <w:sz w:val="28"/>
          <w:szCs w:val="22"/>
          <w:lang w:eastAsia="en-US"/>
        </w:rPr>
      </w:pPr>
    </w:p>
    <w:p w:rsidR="00F53391" w:rsidRDefault="00F53391" w:rsidP="00306AA4">
      <w:pPr>
        <w:jc w:val="both"/>
        <w:rPr>
          <w:sz w:val="28"/>
          <w:lang w:eastAsia="en-US"/>
        </w:rPr>
      </w:pPr>
    </w:p>
    <w:p w:rsidR="00F53391" w:rsidRDefault="00F53391" w:rsidP="00306AA4">
      <w:pPr>
        <w:jc w:val="both"/>
        <w:rPr>
          <w:sz w:val="28"/>
          <w:lang w:eastAsia="en-US"/>
        </w:rPr>
      </w:pPr>
    </w:p>
    <w:p w:rsidR="00F53391" w:rsidRDefault="00306AA4" w:rsidP="00306AA4">
      <w:pPr>
        <w:jc w:val="both"/>
        <w:rPr>
          <w:sz w:val="28"/>
          <w:lang w:eastAsia="en-US"/>
        </w:rPr>
      </w:pPr>
      <w:r w:rsidRPr="00A25CB3">
        <w:rPr>
          <w:sz w:val="28"/>
          <w:lang w:eastAsia="en-US"/>
        </w:rPr>
        <w:t>La théorie statistique permet de mesurer l’incertitude à attacher à chaque résultat d’une enquête. Cette incertitude s’exprime par un intervalle de confiance situé de part et d’autre de la valeur observée et dans lequel la vraie valeur a une probabilité déterminée de se trouver. Cette incertitude, communément appelée « marge</w:t>
      </w:r>
      <w:r w:rsidR="00F53391">
        <w:rPr>
          <w:sz w:val="28"/>
          <w:lang w:eastAsia="en-US"/>
        </w:rPr>
        <w:t xml:space="preserve"> </w:t>
      </w:r>
      <w:r w:rsidR="00F53391" w:rsidRPr="00A25CB3">
        <w:rPr>
          <w:sz w:val="28"/>
          <w:lang w:eastAsia="en-US"/>
        </w:rPr>
        <w:t xml:space="preserve">d’erreur », </w:t>
      </w:r>
      <w:r w:rsidR="00F53391" w:rsidRPr="00A25CB3">
        <w:rPr>
          <w:sz w:val="28"/>
          <w:u w:val="single"/>
          <w:lang w:eastAsia="en-US"/>
        </w:rPr>
        <w:t>varie en fonction de la taille de l’échantillon et du pourcentage observé</w:t>
      </w:r>
      <w:r w:rsidR="00F53391" w:rsidRPr="00A25CB3">
        <w:rPr>
          <w:sz w:val="28"/>
          <w:lang w:eastAsia="en-US"/>
        </w:rPr>
        <w:t xml:space="preserve"> comme le montre le tableau ci-dessous :</w:t>
      </w:r>
    </w:p>
    <w:p w:rsidR="00F53391" w:rsidRDefault="00F53391" w:rsidP="00306AA4">
      <w:pPr>
        <w:jc w:val="both"/>
        <w:rPr>
          <w:sz w:val="28"/>
          <w:lang w:eastAsia="en-US"/>
        </w:rPr>
      </w:pPr>
    </w:p>
    <w:p w:rsidR="00F53391" w:rsidRDefault="00F53391" w:rsidP="00C368F8">
      <w:pPr>
        <w:jc w:val="center"/>
        <w:rPr>
          <w:sz w:val="28"/>
          <w:lang w:eastAsia="en-US"/>
        </w:rPr>
      </w:pPr>
    </w:p>
    <w:p w:rsidR="00F53391" w:rsidRDefault="00F53391" w:rsidP="00306AA4">
      <w:pPr>
        <w:jc w:val="both"/>
        <w:rPr>
          <w:sz w:val="28"/>
          <w:lang w:eastAsia="en-US"/>
        </w:rPr>
      </w:pPr>
    </w:p>
    <w:p w:rsidR="00306AA4" w:rsidRDefault="00306AA4" w:rsidP="00306AA4"/>
    <w:tbl>
      <w:tblPr>
        <w:tblpPr w:leftFromText="141" w:rightFromText="141" w:vertAnchor="page" w:horzAnchor="margin" w:tblpXSpec="center" w:tblpY="5731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680"/>
        <w:gridCol w:w="681"/>
        <w:gridCol w:w="1361"/>
        <w:gridCol w:w="1361"/>
        <w:gridCol w:w="680"/>
        <w:gridCol w:w="681"/>
        <w:gridCol w:w="1361"/>
      </w:tblGrid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A50021"/>
              <w:left w:val="single" w:sz="6" w:space="0" w:color="A50021"/>
              <w:right w:val="nil"/>
            </w:tcBorders>
            <w:shd w:val="clear" w:color="auto" w:fill="auto"/>
            <w:noWrap/>
            <w:vAlign w:val="bottom"/>
          </w:tcPr>
          <w:p w:rsidR="00F53391" w:rsidRPr="00C14FF4" w:rsidRDefault="00F53391" w:rsidP="00D15C4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50021"/>
              <w:left w:val="nil"/>
              <w:right w:val="nil"/>
            </w:tcBorders>
            <w:shd w:val="clear" w:color="auto" w:fill="auto"/>
            <w:noWrap/>
            <w:vAlign w:val="center"/>
          </w:tcPr>
          <w:p w:rsidR="00F53391" w:rsidRPr="00C14FF4" w:rsidRDefault="00F53391" w:rsidP="00D15C46">
            <w:pPr>
              <w:spacing w:after="6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50021"/>
              <w:left w:val="nil"/>
              <w:right w:val="nil"/>
            </w:tcBorders>
            <w:shd w:val="clear" w:color="auto" w:fill="auto"/>
            <w:noWrap/>
            <w:vAlign w:val="bottom"/>
          </w:tcPr>
          <w:p w:rsidR="00F53391" w:rsidRPr="00C14FF4" w:rsidRDefault="00F53391" w:rsidP="00D15C4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50021"/>
              <w:left w:val="nil"/>
              <w:right w:val="nil"/>
            </w:tcBorders>
            <w:shd w:val="clear" w:color="auto" w:fill="auto"/>
            <w:noWrap/>
            <w:vAlign w:val="bottom"/>
          </w:tcPr>
          <w:p w:rsidR="00F53391" w:rsidRPr="00C14FF4" w:rsidRDefault="00F53391" w:rsidP="00D15C4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50021"/>
              <w:left w:val="nil"/>
              <w:right w:val="single" w:sz="6" w:space="0" w:color="A50021"/>
            </w:tcBorders>
            <w:shd w:val="clear" w:color="auto" w:fill="auto"/>
            <w:noWrap/>
            <w:vAlign w:val="bottom"/>
          </w:tcPr>
          <w:p w:rsidR="00F53391" w:rsidRPr="00C14FF4" w:rsidRDefault="00F53391" w:rsidP="00D15C4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53391" w:rsidRPr="00C14FF4" w:rsidTr="00D15C46">
        <w:trPr>
          <w:trHeight w:val="57"/>
        </w:trPr>
        <w:tc>
          <w:tcPr>
            <w:tcW w:w="9527" w:type="dxa"/>
            <w:gridSpan w:val="9"/>
            <w:tcBorders>
              <w:top w:val="nil"/>
              <w:left w:val="single" w:sz="6" w:space="0" w:color="A50021"/>
              <w:bottom w:val="nil"/>
              <w:right w:val="single" w:sz="6" w:space="0" w:color="A50021"/>
            </w:tcBorders>
            <w:shd w:val="clear" w:color="auto" w:fill="auto"/>
            <w:noWrap/>
            <w:vAlign w:val="bottom"/>
          </w:tcPr>
          <w:p w:rsidR="00F53391" w:rsidRPr="002250A3" w:rsidRDefault="00F53391" w:rsidP="00D15C46">
            <w:pPr>
              <w:spacing w:after="12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77CA3">
              <w:rPr>
                <w:rFonts w:cstheme="minorHAnsi"/>
                <w:b/>
                <w:bCs/>
                <w:color w:val="A50021"/>
                <w:sz w:val="32"/>
                <w:szCs w:val="32"/>
              </w:rPr>
              <w:t>INTERVALLE DE CONFIANCE A 95% DE CHANCE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nil"/>
              <w:left w:val="single" w:sz="6" w:space="0" w:color="A5002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91" w:rsidRPr="00C14FF4" w:rsidRDefault="00F53391" w:rsidP="00D15C4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164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i/>
                <w:iCs/>
                <w:color w:val="000000"/>
              </w:rPr>
              <w:t xml:space="preserve">Si le </w:t>
            </w:r>
            <w:r>
              <w:rPr>
                <w:rFonts w:eastAsia="Times New Roman" w:cstheme="minorHAnsi"/>
                <w:i/>
                <w:iCs/>
                <w:color w:val="000000"/>
              </w:rPr>
              <w:t>pourcentage trouvé est…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vMerge w:val="restart"/>
            <w:tcBorders>
              <w:top w:val="nil"/>
              <w:left w:val="single" w:sz="6" w:space="0" w:color="A50021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391" w:rsidRPr="00C14FF4" w:rsidRDefault="00F53391" w:rsidP="00D15C46">
            <w:pPr>
              <w:spacing w:after="60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Taille de l’échantillon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spacing w:before="60" w:after="60"/>
              <w:jc w:val="center"/>
              <w:rPr>
                <w:rFonts w:eastAsia="Times New Roman" w:cstheme="minorHAnsi"/>
                <w:b/>
                <w:bCs/>
              </w:rPr>
            </w:pPr>
            <w:r w:rsidRPr="00177CA3">
              <w:rPr>
                <w:rFonts w:eastAsia="Times New Roman" w:cstheme="minorHAnsi"/>
                <w:b/>
                <w:bCs/>
              </w:rPr>
              <w:t>5 ou 95%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spacing w:before="60" w:after="60"/>
              <w:jc w:val="center"/>
              <w:rPr>
                <w:rFonts w:eastAsia="Times New Roman" w:cstheme="minorHAnsi"/>
                <w:b/>
                <w:bCs/>
              </w:rPr>
            </w:pPr>
            <w:r w:rsidRPr="00177CA3">
              <w:rPr>
                <w:rFonts w:eastAsia="Times New Roman" w:cstheme="minorHAnsi"/>
                <w:b/>
                <w:bCs/>
              </w:rPr>
              <w:t>10 ou 90%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spacing w:before="60" w:after="60"/>
              <w:jc w:val="center"/>
              <w:rPr>
                <w:rFonts w:eastAsia="Times New Roman" w:cstheme="minorHAnsi"/>
                <w:b/>
                <w:bCs/>
              </w:rPr>
            </w:pPr>
            <w:r w:rsidRPr="00177CA3">
              <w:rPr>
                <w:rFonts w:eastAsia="Times New Roman" w:cstheme="minorHAnsi"/>
                <w:b/>
                <w:bCs/>
              </w:rPr>
              <w:t>20 ou 80%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spacing w:before="60" w:after="60"/>
              <w:jc w:val="center"/>
              <w:rPr>
                <w:rFonts w:eastAsia="Times New Roman" w:cstheme="minorHAnsi"/>
                <w:b/>
                <w:bCs/>
              </w:rPr>
            </w:pPr>
            <w:r w:rsidRPr="00177CA3">
              <w:rPr>
                <w:rFonts w:eastAsia="Times New Roman" w:cstheme="minorHAnsi"/>
                <w:b/>
                <w:bCs/>
              </w:rPr>
              <w:t>30 ou 70%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spacing w:before="60" w:after="60"/>
              <w:jc w:val="center"/>
              <w:rPr>
                <w:rFonts w:eastAsia="Times New Roman" w:cstheme="minorHAnsi"/>
                <w:b/>
                <w:bCs/>
              </w:rPr>
            </w:pPr>
            <w:r w:rsidRPr="00177CA3">
              <w:rPr>
                <w:rFonts w:eastAsia="Times New Roman" w:cstheme="minorHAnsi"/>
                <w:b/>
                <w:bCs/>
              </w:rPr>
              <w:t>40 ou 60%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spacing w:before="60" w:after="60"/>
              <w:jc w:val="center"/>
              <w:rPr>
                <w:rFonts w:eastAsia="Times New Roman" w:cstheme="minorHAnsi"/>
                <w:b/>
                <w:bCs/>
              </w:rPr>
            </w:pPr>
            <w:r w:rsidRPr="00177CA3">
              <w:rPr>
                <w:rFonts w:eastAsia="Times New Roman" w:cstheme="minorHAnsi"/>
                <w:b/>
                <w:bCs/>
              </w:rPr>
              <w:t>50%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vMerge/>
            <w:tcBorders>
              <w:top w:val="nil"/>
              <w:left w:val="single" w:sz="6" w:space="0" w:color="A50021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3391" w:rsidRPr="00C14FF4" w:rsidRDefault="00F53391" w:rsidP="00D15C4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auto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4,4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9,2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9,8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10,0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200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3,1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4,2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5,7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6,5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6,9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7,1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300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2,5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3,5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4,6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5,3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5,7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5,8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400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2,2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4,6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4,9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500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1,9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2,7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3,6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4,1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4,4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600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1,8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2,4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3,3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3,7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4,1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700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1,6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2,3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3,5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3,7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3,8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800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1,5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2,1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2,8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3,2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3,5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F53391" w:rsidRPr="00C14FF4" w:rsidTr="00C368F8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900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1,4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2,6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3,0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3,2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18" w:space="0" w:color="C00000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3,3</w:t>
            </w:r>
          </w:p>
        </w:tc>
      </w:tr>
      <w:tr w:rsidR="00F53391" w:rsidRPr="00C14FF4" w:rsidTr="00C368F8">
        <w:trPr>
          <w:trHeight w:val="57"/>
        </w:trPr>
        <w:tc>
          <w:tcPr>
            <w:tcW w:w="136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1 000</w:t>
            </w:r>
          </w:p>
        </w:tc>
        <w:tc>
          <w:tcPr>
            <w:tcW w:w="1361" w:type="dxa"/>
            <w:tcBorders>
              <w:top w:val="single" w:sz="18" w:space="0" w:color="C00000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1,4</w:t>
            </w:r>
          </w:p>
        </w:tc>
        <w:tc>
          <w:tcPr>
            <w:tcW w:w="1361" w:type="dxa"/>
            <w:gridSpan w:val="2"/>
            <w:tcBorders>
              <w:top w:val="single" w:sz="18" w:space="0" w:color="C00000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1,8</w:t>
            </w:r>
          </w:p>
        </w:tc>
        <w:tc>
          <w:tcPr>
            <w:tcW w:w="1361" w:type="dxa"/>
            <w:tcBorders>
              <w:top w:val="single" w:sz="18" w:space="0" w:color="C00000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2,5</w:t>
            </w:r>
          </w:p>
        </w:tc>
        <w:tc>
          <w:tcPr>
            <w:tcW w:w="1361" w:type="dxa"/>
            <w:tcBorders>
              <w:top w:val="single" w:sz="18" w:space="0" w:color="C00000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2,8</w:t>
            </w:r>
          </w:p>
        </w:tc>
        <w:tc>
          <w:tcPr>
            <w:tcW w:w="1361" w:type="dxa"/>
            <w:gridSpan w:val="2"/>
            <w:tcBorders>
              <w:top w:val="single" w:sz="18" w:space="0" w:color="C00000"/>
              <w:left w:val="single" w:sz="6" w:space="0" w:color="auto"/>
              <w:bottom w:val="single" w:sz="18" w:space="0" w:color="C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3,0</w:t>
            </w:r>
          </w:p>
        </w:tc>
        <w:tc>
          <w:tcPr>
            <w:tcW w:w="1361" w:type="dxa"/>
            <w:tcBorders>
              <w:top w:val="single" w:sz="18" w:space="0" w:color="C00000"/>
              <w:left w:val="single" w:sz="6" w:space="0" w:color="auto"/>
              <w:bottom w:val="single" w:sz="18" w:space="0" w:color="C00000"/>
              <w:right w:val="single" w:sz="18" w:space="0" w:color="C00000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3,1</w:t>
            </w:r>
          </w:p>
        </w:tc>
      </w:tr>
      <w:tr w:rsidR="00F53391" w:rsidRPr="00C14FF4" w:rsidTr="00C368F8">
        <w:trPr>
          <w:trHeight w:val="57"/>
        </w:trPr>
        <w:tc>
          <w:tcPr>
            <w:tcW w:w="1361" w:type="dxa"/>
            <w:tcBorders>
              <w:top w:val="single" w:sz="18" w:space="0" w:color="C00000"/>
              <w:left w:val="single" w:sz="6" w:space="0" w:color="C00000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2 000</w:t>
            </w:r>
          </w:p>
        </w:tc>
        <w:tc>
          <w:tcPr>
            <w:tcW w:w="1361" w:type="dxa"/>
            <w:tcBorders>
              <w:top w:val="single" w:sz="18" w:space="0" w:color="C00000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1,0</w:t>
            </w:r>
          </w:p>
        </w:tc>
        <w:tc>
          <w:tcPr>
            <w:tcW w:w="1361" w:type="dxa"/>
            <w:gridSpan w:val="2"/>
            <w:tcBorders>
              <w:top w:val="single" w:sz="18" w:space="0" w:color="C00000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1,3</w:t>
            </w:r>
          </w:p>
        </w:tc>
        <w:tc>
          <w:tcPr>
            <w:tcW w:w="1361" w:type="dxa"/>
            <w:tcBorders>
              <w:top w:val="single" w:sz="18" w:space="0" w:color="C00000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1,8</w:t>
            </w:r>
          </w:p>
        </w:tc>
        <w:tc>
          <w:tcPr>
            <w:tcW w:w="1361" w:type="dxa"/>
            <w:tcBorders>
              <w:top w:val="single" w:sz="18" w:space="0" w:color="C00000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2,1</w:t>
            </w:r>
          </w:p>
        </w:tc>
        <w:tc>
          <w:tcPr>
            <w:tcW w:w="1361" w:type="dxa"/>
            <w:gridSpan w:val="2"/>
            <w:tcBorders>
              <w:top w:val="single" w:sz="18" w:space="0" w:color="C00000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2,2</w:t>
            </w:r>
          </w:p>
        </w:tc>
        <w:tc>
          <w:tcPr>
            <w:tcW w:w="1361" w:type="dxa"/>
            <w:tcBorders>
              <w:top w:val="single" w:sz="18" w:space="0" w:color="C00000"/>
              <w:left w:val="single" w:sz="6" w:space="0" w:color="auto"/>
              <w:bottom w:val="single" w:sz="6" w:space="0" w:color="A6A6A6" w:themeColor="background1" w:themeShade="A6"/>
              <w:right w:val="single" w:sz="6" w:space="0" w:color="C00000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2,2</w:t>
            </w:r>
          </w:p>
        </w:tc>
      </w:tr>
      <w:tr w:rsidR="00F53391" w:rsidRPr="00C14FF4" w:rsidTr="00C368F8">
        <w:trPr>
          <w:trHeight w:val="57"/>
        </w:trPr>
        <w:tc>
          <w:tcPr>
            <w:tcW w:w="1361" w:type="dxa"/>
            <w:tcBorders>
              <w:top w:val="single" w:sz="6" w:space="0" w:color="A6A6A6" w:themeColor="background1" w:themeShade="A6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3 000</w:t>
            </w:r>
          </w:p>
        </w:tc>
        <w:tc>
          <w:tcPr>
            <w:tcW w:w="1361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0,8</w:t>
            </w:r>
          </w:p>
        </w:tc>
        <w:tc>
          <w:tcPr>
            <w:tcW w:w="1361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1,1</w:t>
            </w:r>
          </w:p>
        </w:tc>
        <w:tc>
          <w:tcPr>
            <w:tcW w:w="1361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1,4</w:t>
            </w:r>
          </w:p>
        </w:tc>
        <w:tc>
          <w:tcPr>
            <w:tcW w:w="1361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1,6</w:t>
            </w:r>
          </w:p>
        </w:tc>
        <w:tc>
          <w:tcPr>
            <w:tcW w:w="1361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1,8</w:t>
            </w:r>
          </w:p>
        </w:tc>
        <w:tc>
          <w:tcPr>
            <w:tcW w:w="1361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1,8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4 000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0,7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0,9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1,3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1,5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1,6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1,6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5 000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0,6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0,8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1,1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1,3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1,4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1,4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6 000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0,6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0,8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1,1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1,3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1,4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1,4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8 000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0,5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0,7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0,9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1,0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1,1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1,1</w:t>
            </w:r>
          </w:p>
        </w:tc>
      </w:tr>
      <w:tr w:rsidR="00F53391" w:rsidRPr="00C14FF4" w:rsidTr="00D15C46">
        <w:trPr>
          <w:trHeight w:val="57"/>
        </w:trPr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50021"/>
              <w:bottom w:val="single" w:sz="6" w:space="0" w:color="A50021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177CA3" w:rsidRDefault="00F53391" w:rsidP="00D15C4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177CA3">
              <w:rPr>
                <w:rFonts w:eastAsia="Times New Roman"/>
                <w:b/>
                <w:bCs/>
                <w:i/>
                <w:iCs/>
              </w:rPr>
              <w:t>10 000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50021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0,4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50021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0,6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50021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0,8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50021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0,9</w:t>
            </w:r>
          </w:p>
        </w:tc>
        <w:tc>
          <w:tcPr>
            <w:tcW w:w="136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50021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0,9</w:t>
            </w:r>
          </w:p>
        </w:tc>
        <w:tc>
          <w:tcPr>
            <w:tcW w:w="136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50021"/>
              <w:right w:val="single" w:sz="6" w:space="0" w:color="A50021"/>
            </w:tcBorders>
            <w:shd w:val="clear" w:color="auto" w:fill="auto"/>
            <w:noWrap/>
            <w:vAlign w:val="center"/>
            <w:hideMark/>
          </w:tcPr>
          <w:p w:rsidR="00F53391" w:rsidRPr="002250A3" w:rsidRDefault="00F53391" w:rsidP="00D15C4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250A3">
              <w:rPr>
                <w:rFonts w:eastAsia="Times New Roman" w:cstheme="minorHAnsi"/>
                <w:color w:val="000000"/>
              </w:rPr>
              <w:t>1,0</w:t>
            </w:r>
          </w:p>
        </w:tc>
      </w:tr>
    </w:tbl>
    <w:p w:rsidR="00306AA4" w:rsidRDefault="00306AA4" w:rsidP="00306AA4">
      <w:pPr>
        <w:jc w:val="both"/>
        <w:rPr>
          <w:b/>
          <w:sz w:val="26"/>
          <w:szCs w:val="26"/>
          <w:lang w:eastAsia="en-US"/>
        </w:rPr>
      </w:pPr>
    </w:p>
    <w:p w:rsidR="00306AA4" w:rsidRDefault="00306AA4" w:rsidP="00306AA4">
      <w:pPr>
        <w:jc w:val="both"/>
        <w:rPr>
          <w:sz w:val="26"/>
          <w:szCs w:val="26"/>
          <w:lang w:eastAsia="en-US"/>
        </w:rPr>
      </w:pPr>
      <w:r w:rsidRPr="00C368F8">
        <w:rPr>
          <w:b/>
          <w:sz w:val="26"/>
          <w:szCs w:val="26"/>
          <w:lang w:eastAsia="en-US"/>
        </w:rPr>
        <w:t>Exemple de lecture du tableau</w:t>
      </w:r>
      <w:r w:rsidRPr="00C368F8">
        <w:rPr>
          <w:sz w:val="26"/>
          <w:szCs w:val="26"/>
          <w:lang w:eastAsia="en-US"/>
        </w:rPr>
        <w:t xml:space="preserve"> : dans le cas d’un échantillon de </w:t>
      </w:r>
      <w:r w:rsidRPr="00C368F8">
        <w:rPr>
          <w:b/>
          <w:sz w:val="26"/>
          <w:szCs w:val="26"/>
          <w:lang w:eastAsia="en-US"/>
        </w:rPr>
        <w:t xml:space="preserve">1000 </w:t>
      </w:r>
      <w:r w:rsidRPr="00C368F8">
        <w:rPr>
          <w:sz w:val="26"/>
          <w:szCs w:val="26"/>
          <w:lang w:eastAsia="en-US"/>
        </w:rPr>
        <w:t xml:space="preserve">personnes, si le pourcentage mesuré est de </w:t>
      </w:r>
      <w:r w:rsidRPr="00C368F8">
        <w:rPr>
          <w:b/>
          <w:sz w:val="26"/>
          <w:szCs w:val="26"/>
          <w:lang w:eastAsia="en-US"/>
        </w:rPr>
        <w:t>10%</w:t>
      </w:r>
      <w:r w:rsidRPr="00C368F8">
        <w:rPr>
          <w:sz w:val="26"/>
          <w:szCs w:val="26"/>
          <w:lang w:eastAsia="en-US"/>
        </w:rPr>
        <w:t xml:space="preserve">, la marge d’erreur est égale à </w:t>
      </w:r>
      <w:r w:rsidRPr="00C368F8">
        <w:rPr>
          <w:b/>
          <w:sz w:val="26"/>
          <w:szCs w:val="26"/>
          <w:lang w:eastAsia="en-US"/>
        </w:rPr>
        <w:t>1,8.</w:t>
      </w:r>
      <w:r w:rsidRPr="00C368F8">
        <w:rPr>
          <w:sz w:val="26"/>
          <w:szCs w:val="26"/>
          <w:lang w:eastAsia="en-US"/>
        </w:rPr>
        <w:t xml:space="preserve"> Le vrai pourcentage est donc compris entre 8,2% et 11,8%.</w:t>
      </w:r>
    </w:p>
    <w:p w:rsidR="0059476E" w:rsidRDefault="0059476E">
      <w:pPr>
        <w:rPr>
          <w:sz w:val="24"/>
        </w:rPr>
        <w:sectPr w:rsidR="0059476E" w:rsidSect="00F53391">
          <w:headerReference w:type="even" r:id="rId17"/>
          <w:headerReference w:type="default" r:id="rId18"/>
          <w:headerReference w:type="first" r:id="rId19"/>
          <w:pgSz w:w="11905" w:h="16837" w:code="9"/>
          <w:pgMar w:top="1134" w:right="1134" w:bottom="567" w:left="1134" w:header="567" w:footer="567" w:gutter="0"/>
          <w:cols w:space="720"/>
        </w:sectPr>
      </w:pPr>
    </w:p>
    <w:p w:rsidR="0059476E" w:rsidRDefault="000575C5" w:rsidP="000575C5">
      <w:pPr>
        <w:pStyle w:val="Titre1"/>
        <w:sectPr w:rsidR="0059476E" w:rsidSect="00F53391">
          <w:pgSz w:w="11905" w:h="16837" w:code="9"/>
          <w:pgMar w:top="1134" w:right="1134" w:bottom="567" w:left="1134" w:header="567" w:footer="567" w:gutter="0"/>
          <w:cols w:space="720"/>
          <w:vAlign w:val="center"/>
        </w:sectPr>
      </w:pPr>
      <w:bookmarkStart w:id="1" w:name="_Toc485399946"/>
      <w:bookmarkStart w:id="2" w:name="_Toc485630844"/>
      <w:r>
        <w:lastRenderedPageBreak/>
        <w:t>- 2 -</w:t>
      </w:r>
      <w:r>
        <w:br w:type="textWrapping" w:clear="left"/>
      </w:r>
      <w:r>
        <w:br w:type="textWrapping" w:clear="left"/>
        <w:t>Les résultats de l'étude</w:t>
      </w:r>
      <w:bookmarkEnd w:id="1"/>
      <w:bookmarkEnd w:id="2"/>
    </w:p>
    <w:p w:rsidR="0059476E" w:rsidRPr="000575C5" w:rsidRDefault="00AC4D61" w:rsidP="000575C5">
      <w:pPr>
        <w:pStyle w:val="Titre3"/>
        <w:rPr>
          <w:color w:val="A50021"/>
          <w:sz w:val="22"/>
        </w:rPr>
      </w:pPr>
      <w:bookmarkStart w:id="3" w:name="_Toc485399954"/>
      <w:bookmarkStart w:id="4" w:name="_Toc485630845"/>
      <w:r w:rsidRPr="000575C5">
        <w:rPr>
          <w:color w:val="A50021"/>
        </w:rPr>
        <w:lastRenderedPageBreak/>
        <w:t>L’adhésion à la poursuite et l’amplification de la politique de lutte contre les perturbateurs endocriniens</w:t>
      </w:r>
      <w:bookmarkEnd w:id="3"/>
      <w:bookmarkEnd w:id="4"/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AC4D61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700" w:hanging="1700"/>
        <w:jc w:val="both"/>
        <w:rPr>
          <w:sz w:val="28"/>
        </w:rPr>
      </w:pPr>
      <w:r>
        <w:rPr>
          <w:sz w:val="28"/>
          <w:u w:val="single"/>
        </w:rPr>
        <w:t>Question</w:t>
      </w:r>
      <w:r>
        <w:rPr>
          <w:sz w:val="28"/>
        </w:rPr>
        <w:tab/>
        <w:t>:</w:t>
      </w:r>
      <w:r>
        <w:rPr>
          <w:sz w:val="28"/>
        </w:rPr>
        <w:tab/>
      </w:r>
      <w:bookmarkStart w:id="5" w:name="_GoBack"/>
      <w:r>
        <w:rPr>
          <w:sz w:val="28"/>
        </w:rPr>
        <w:t xml:space="preserve">Etes-vous favorable ou non à ce que Nicolas Hulot et le nouveau gouvernement poursuivent et amplifient la politique de lutte contre </w:t>
      </w:r>
      <w:r w:rsidR="00F53391">
        <w:rPr>
          <w:sz w:val="28"/>
        </w:rPr>
        <w:t>les perturbateurs endocriniens</w:t>
      </w:r>
      <w:r>
        <w:rPr>
          <w:sz w:val="28"/>
        </w:rPr>
        <w:t xml:space="preserve"> mis</w:t>
      </w:r>
      <w:r w:rsidR="00C368F8">
        <w:rPr>
          <w:sz w:val="28"/>
        </w:rPr>
        <w:t>e</w:t>
      </w:r>
      <w:r>
        <w:rPr>
          <w:sz w:val="28"/>
        </w:rPr>
        <w:t xml:space="preserve"> en </w:t>
      </w:r>
      <w:r w:rsidR="00F53391">
        <w:rPr>
          <w:sz w:val="28"/>
        </w:rPr>
        <w:t>œuvre</w:t>
      </w:r>
      <w:r>
        <w:rPr>
          <w:sz w:val="28"/>
        </w:rPr>
        <w:t xml:space="preserve"> aux niveaux national et européen </w:t>
      </w:r>
      <w:bookmarkEnd w:id="5"/>
      <w:r>
        <w:rPr>
          <w:sz w:val="28"/>
        </w:rPr>
        <w:t>?</w:t>
      </w: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sz w:val="22"/>
        </w:rPr>
      </w:pPr>
    </w:p>
    <w:p w:rsidR="0059476E" w:rsidRDefault="0059476E">
      <w:pPr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49"/>
        <w:gridCol w:w="1776"/>
      </w:tblGrid>
      <w:tr w:rsidR="0059476E" w:rsidTr="00F53391">
        <w:trPr>
          <w:trHeight w:val="567"/>
          <w:jc w:val="center"/>
        </w:trPr>
        <w:tc>
          <w:tcPr>
            <w:tcW w:w="62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59476E" w:rsidP="00F53391">
            <w:pPr>
              <w:rPr>
                <w:i/>
                <w:iCs/>
                <w:sz w:val="22"/>
                <w:szCs w:val="24"/>
              </w:rPr>
            </w:pPr>
          </w:p>
          <w:p w:rsidR="0059476E" w:rsidRDefault="0059476E" w:rsidP="00F53391">
            <w:pPr>
              <w:tabs>
                <w:tab w:val="left" w:pos="222"/>
                <w:tab w:val="left" w:pos="647"/>
                <w:tab w:val="right" w:leader="dot" w:pos="7026"/>
              </w:tabs>
              <w:rPr>
                <w:sz w:val="22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tabs>
                <w:tab w:val="decimal" w:pos="1074"/>
                <w:tab w:val="right" w:pos="70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Ensemble </w:t>
            </w:r>
          </w:p>
          <w:p w:rsidR="0059476E" w:rsidRDefault="00AC4D61" w:rsidP="00F53391">
            <w:pPr>
              <w:tabs>
                <w:tab w:val="decimal" w:pos="1074"/>
                <w:tab w:val="right" w:pos="70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</w:tr>
      <w:tr w:rsidR="0059476E" w:rsidTr="00F53391">
        <w:trPr>
          <w:trHeight w:val="567"/>
          <w:jc w:val="center"/>
        </w:trPr>
        <w:tc>
          <w:tcPr>
            <w:tcW w:w="6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tabs>
                <w:tab w:val="left" w:pos="222"/>
                <w:tab w:val="right" w:leader="dot" w:pos="70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TOTAL Favorable </w:t>
            </w:r>
          </w:p>
        </w:tc>
        <w:tc>
          <w:tcPr>
            <w:tcW w:w="17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jc w:val="center"/>
            </w:pPr>
            <w:r>
              <w:rPr>
                <w:b/>
                <w:bCs/>
                <w:sz w:val="22"/>
              </w:rPr>
              <w:t xml:space="preserve">90 </w:t>
            </w:r>
          </w:p>
        </w:tc>
      </w:tr>
      <w:tr w:rsidR="0059476E" w:rsidTr="00F53391">
        <w:trPr>
          <w:trHeight w:val="567"/>
          <w:jc w:val="center"/>
        </w:trPr>
        <w:tc>
          <w:tcPr>
            <w:tcW w:w="6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numPr>
                <w:ilvl w:val="0"/>
                <w:numId w:val="2"/>
              </w:numPr>
              <w:tabs>
                <w:tab w:val="clear" w:pos="360"/>
                <w:tab w:val="left" w:pos="222"/>
                <w:tab w:val="right" w:leader="dot" w:pos="7026"/>
              </w:tabs>
              <w:rPr>
                <w:sz w:val="22"/>
              </w:rPr>
            </w:pPr>
            <w:r>
              <w:rPr>
                <w:sz w:val="22"/>
              </w:rPr>
              <w:t xml:space="preserve">Tout à fait favorable </w:t>
            </w:r>
            <w:r>
              <w:rPr>
                <w:sz w:val="22"/>
              </w:rPr>
              <w:tab/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jc w:val="center"/>
            </w:pPr>
            <w:r>
              <w:rPr>
                <w:sz w:val="22"/>
              </w:rPr>
              <w:t xml:space="preserve">43 </w:t>
            </w:r>
          </w:p>
        </w:tc>
      </w:tr>
      <w:tr w:rsidR="0059476E" w:rsidTr="00F53391">
        <w:trPr>
          <w:trHeight w:val="567"/>
          <w:jc w:val="center"/>
        </w:trPr>
        <w:tc>
          <w:tcPr>
            <w:tcW w:w="6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numPr>
                <w:ilvl w:val="0"/>
                <w:numId w:val="2"/>
              </w:numPr>
              <w:tabs>
                <w:tab w:val="clear" w:pos="360"/>
                <w:tab w:val="left" w:pos="222"/>
                <w:tab w:val="right" w:leader="dot" w:pos="7026"/>
              </w:tabs>
              <w:rPr>
                <w:sz w:val="22"/>
              </w:rPr>
            </w:pPr>
            <w:r>
              <w:rPr>
                <w:sz w:val="22"/>
              </w:rPr>
              <w:t xml:space="preserve">Plutôt favorable </w:t>
            </w:r>
            <w:r>
              <w:rPr>
                <w:sz w:val="22"/>
              </w:rPr>
              <w:tab/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jc w:val="center"/>
            </w:pPr>
            <w:r>
              <w:rPr>
                <w:sz w:val="22"/>
              </w:rPr>
              <w:t xml:space="preserve">47 </w:t>
            </w:r>
          </w:p>
        </w:tc>
      </w:tr>
      <w:tr w:rsidR="0059476E" w:rsidTr="00F53391">
        <w:trPr>
          <w:trHeight w:val="567"/>
          <w:jc w:val="center"/>
        </w:trPr>
        <w:tc>
          <w:tcPr>
            <w:tcW w:w="6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tabs>
                <w:tab w:val="left" w:pos="222"/>
                <w:tab w:val="right" w:leader="dot" w:pos="70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TOTAL Pas favorable </w:t>
            </w:r>
          </w:p>
        </w:tc>
        <w:tc>
          <w:tcPr>
            <w:tcW w:w="17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jc w:val="center"/>
            </w:pPr>
            <w:r>
              <w:rPr>
                <w:b/>
                <w:bCs/>
                <w:sz w:val="22"/>
              </w:rPr>
              <w:t xml:space="preserve">10 </w:t>
            </w:r>
          </w:p>
        </w:tc>
      </w:tr>
      <w:tr w:rsidR="0059476E" w:rsidTr="00F53391">
        <w:trPr>
          <w:trHeight w:val="567"/>
          <w:jc w:val="center"/>
        </w:trPr>
        <w:tc>
          <w:tcPr>
            <w:tcW w:w="6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numPr>
                <w:ilvl w:val="0"/>
                <w:numId w:val="2"/>
              </w:numPr>
              <w:tabs>
                <w:tab w:val="clear" w:pos="360"/>
                <w:tab w:val="left" w:pos="222"/>
                <w:tab w:val="right" w:leader="dot" w:pos="7026"/>
              </w:tabs>
              <w:rPr>
                <w:sz w:val="22"/>
              </w:rPr>
            </w:pPr>
            <w:r>
              <w:rPr>
                <w:sz w:val="22"/>
              </w:rPr>
              <w:t xml:space="preserve">Plutôt pas favorable </w:t>
            </w:r>
            <w:r>
              <w:rPr>
                <w:sz w:val="22"/>
              </w:rPr>
              <w:tab/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59476E" w:rsidTr="00F53391">
        <w:trPr>
          <w:trHeight w:val="567"/>
          <w:jc w:val="center"/>
        </w:trPr>
        <w:tc>
          <w:tcPr>
            <w:tcW w:w="6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numPr>
                <w:ilvl w:val="0"/>
                <w:numId w:val="2"/>
              </w:numPr>
              <w:tabs>
                <w:tab w:val="clear" w:pos="360"/>
                <w:tab w:val="left" w:pos="222"/>
                <w:tab w:val="right" w:leader="dot" w:pos="7026"/>
              </w:tabs>
              <w:rPr>
                <w:sz w:val="22"/>
              </w:rPr>
            </w:pPr>
            <w:r>
              <w:rPr>
                <w:sz w:val="22"/>
              </w:rPr>
              <w:t xml:space="preserve">Pas du tout favorable </w:t>
            </w:r>
            <w:r>
              <w:rPr>
                <w:sz w:val="22"/>
              </w:rPr>
              <w:tab/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59476E" w:rsidTr="00F53391">
        <w:trPr>
          <w:trHeight w:val="567"/>
          <w:jc w:val="center"/>
        </w:trPr>
        <w:tc>
          <w:tcPr>
            <w:tcW w:w="6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tabs>
                <w:tab w:val="left" w:pos="222"/>
                <w:tab w:val="left" w:pos="647"/>
                <w:tab w:val="right" w:leader="dot" w:pos="7026"/>
              </w:tabs>
              <w:rPr>
                <w:sz w:val="22"/>
              </w:rPr>
            </w:pPr>
            <w:r>
              <w:rPr>
                <w:sz w:val="22"/>
              </w:rPr>
              <w:tab/>
              <w:t>TOTAL</w:t>
            </w:r>
            <w:r>
              <w:rPr>
                <w:sz w:val="22"/>
              </w:rPr>
              <w:tab/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76E" w:rsidRDefault="00AC4D61" w:rsidP="00F5339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</w:t>
            </w:r>
          </w:p>
        </w:tc>
      </w:tr>
    </w:tbl>
    <w:p w:rsidR="0059476E" w:rsidRPr="000575C5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b/>
          <w:color w:val="A50021"/>
          <w:sz w:val="40"/>
        </w:rPr>
      </w:pPr>
    </w:p>
    <w:p w:rsidR="0059476E" w:rsidRDefault="00AC4D61" w:rsidP="000575C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spacing w:after="240"/>
        <w:jc w:val="center"/>
        <w:rPr>
          <w:sz w:val="22"/>
        </w:rPr>
      </w:pPr>
      <w:r w:rsidRPr="000575C5">
        <w:rPr>
          <w:b/>
          <w:color w:val="A50021"/>
          <w:sz w:val="40"/>
        </w:rPr>
        <w:br w:type="page"/>
      </w:r>
      <w:r w:rsidRPr="000575C5">
        <w:rPr>
          <w:b/>
          <w:color w:val="A50021"/>
          <w:sz w:val="28"/>
        </w:rPr>
        <w:lastRenderedPageBreak/>
        <w:t>L’adhésion à la poursuite et l’amplification de la politique de lutte contre les perturbateurs endocriniens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42"/>
        <w:gridCol w:w="960"/>
        <w:gridCol w:w="961"/>
        <w:gridCol w:w="961"/>
        <w:gridCol w:w="961"/>
        <w:gridCol w:w="961"/>
        <w:gridCol w:w="961"/>
      </w:tblGrid>
      <w:tr w:rsidR="0059476E">
        <w:trPr>
          <w:trHeight w:val="203"/>
          <w:jc w:val="center"/>
        </w:trPr>
        <w:tc>
          <w:tcPr>
            <w:tcW w:w="2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59476E">
            <w:pPr>
              <w:rPr>
                <w:i/>
                <w:iCs/>
                <w:sz w:val="22"/>
                <w:szCs w:val="24"/>
              </w:rPr>
            </w:pPr>
          </w:p>
          <w:p w:rsidR="0059476E" w:rsidRDefault="0059476E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sz w:val="22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TOTAL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Tout à fait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Plutôt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TOTAL Pas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Plutôt pas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Pas du tout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favorable </w:t>
            </w:r>
          </w:p>
        </w:tc>
      </w:tr>
      <w:tr w:rsidR="0059476E">
        <w:trPr>
          <w:trHeight w:val="403"/>
          <w:jc w:val="center"/>
        </w:trPr>
        <w:tc>
          <w:tcPr>
            <w:tcW w:w="62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59476E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sz w:val="22"/>
              </w:rPr>
            </w:pPr>
          </w:p>
        </w:tc>
        <w:tc>
          <w:tcPr>
            <w:tcW w:w="1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1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1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1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1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1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</w:tr>
      <w:tr w:rsidR="0059476E">
        <w:trPr>
          <w:trHeight w:val="4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spacing w:before="60" w:after="60"/>
              <w:rPr>
                <w:b/>
                <w:bCs/>
                <w:color w:val="800000"/>
                <w:sz w:val="22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ENSEMBLE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90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43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47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Pr="000575C5" w:rsidRDefault="00AC4D61">
            <w:pPr>
              <w:spacing w:before="60" w:after="60"/>
              <w:jc w:val="center"/>
              <w:rPr>
                <w:color w:val="A50021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59476E" w:rsidRDefault="00AC4D61">
            <w:pPr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SEXE DE L’INTERVIEWE(E)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Homme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Femme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AGE DE L’INTERVIEWE(E)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Moins de 35 ans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18 à 24 ans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20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25 à 34 ans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35 ans et plus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35 à 49 ans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50 à 64 ans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65 ans et plus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PROFESSION DE L’INTERVIEWE(E)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ACTIF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PCS+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Travailleur indépendant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Cadre et prof. int. supérieure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Profession intermédiaire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6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PCS-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Employé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Ouvrier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INACTIF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Retraité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Autre inactif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REGION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Région parisienne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Province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Nord, Pas de Calais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Alsace Lorraine, Franche Comté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Champagne, Picardie, Bourgogne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20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8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Normandie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Pays de Loire, Poitou-C, Bretagne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Aquitaine, Midi-Pyrénées, Limousin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Rhône Alpes, Auvergne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PACA, Languedoc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7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TAILLE D’UNITE URBAINE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Communes rurales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Agglomération de 2 à 20000 hab.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Agglomération de 20 à 100000 hab.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Agglomération de 100000 hab. et plus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</w:tr>
      <w:tr w:rsidR="0059476E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Agglomération parisienne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</w:tr>
    </w:tbl>
    <w:p w:rsidR="0059476E" w:rsidRPr="000575C5" w:rsidRDefault="0059476E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b/>
          <w:color w:val="A50021"/>
          <w:sz w:val="40"/>
        </w:rPr>
      </w:pPr>
    </w:p>
    <w:p w:rsidR="0059476E" w:rsidRDefault="00AC4D61" w:rsidP="000575C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spacing w:after="240"/>
        <w:jc w:val="center"/>
        <w:rPr>
          <w:sz w:val="22"/>
        </w:rPr>
      </w:pPr>
      <w:r w:rsidRPr="000575C5">
        <w:rPr>
          <w:b/>
          <w:color w:val="A50021"/>
          <w:sz w:val="40"/>
        </w:rPr>
        <w:br w:type="page"/>
      </w:r>
      <w:r w:rsidRPr="000575C5">
        <w:rPr>
          <w:b/>
          <w:color w:val="A50021"/>
          <w:sz w:val="28"/>
        </w:rPr>
        <w:lastRenderedPageBreak/>
        <w:t>L’adhésion à la poursuite et l’amplification de la politique de lutte contre les perturbateurs endocriniens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42"/>
        <w:gridCol w:w="960"/>
        <w:gridCol w:w="961"/>
        <w:gridCol w:w="961"/>
        <w:gridCol w:w="961"/>
        <w:gridCol w:w="961"/>
        <w:gridCol w:w="961"/>
      </w:tblGrid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59476E">
            <w:pPr>
              <w:rPr>
                <w:i/>
                <w:iCs/>
                <w:sz w:val="22"/>
                <w:szCs w:val="24"/>
              </w:rPr>
            </w:pPr>
          </w:p>
          <w:p w:rsidR="0059476E" w:rsidRDefault="0059476E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sz w:val="22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TOTAL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Tout à fait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Plutôt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TOTAL Pas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Plutôt pas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favorable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Pas du tout </w:t>
            </w:r>
          </w:p>
          <w:p w:rsidR="0059476E" w:rsidRDefault="00AC4D61">
            <w:pPr>
              <w:tabs>
                <w:tab w:val="decimal" w:pos="1074"/>
                <w:tab w:val="right" w:pos="7026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favorable </w:t>
            </w:r>
          </w:p>
        </w:tc>
      </w:tr>
      <w:tr w:rsidR="0059476E" w:rsidTr="00C368F8">
        <w:trPr>
          <w:trHeight w:val="4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59476E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</w:tr>
      <w:tr w:rsidR="0059476E" w:rsidTr="00C368F8">
        <w:trPr>
          <w:trHeight w:val="4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>
            <w:pPr>
              <w:spacing w:before="60" w:after="60"/>
              <w:rPr>
                <w:b/>
                <w:bCs/>
                <w:color w:val="800000"/>
                <w:sz w:val="22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ENSEMBLE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90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43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47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60" w:after="60"/>
              <w:jc w:val="center"/>
              <w:rPr>
                <w:color w:val="800000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Pr="000575C5" w:rsidRDefault="00AC4D61">
            <w:pPr>
              <w:spacing w:before="60" w:after="60"/>
              <w:jc w:val="center"/>
              <w:rPr>
                <w:color w:val="A50021"/>
              </w:rPr>
            </w:pPr>
            <w:r w:rsidRPr="000575C5">
              <w:rPr>
                <w:b/>
                <w:bCs/>
                <w:color w:val="A50021"/>
                <w:sz w:val="22"/>
              </w:rPr>
              <w:t xml:space="preserve">4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PROXIMITE POLITIQUE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Gauche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2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La France Insoumise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Parti socialiste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Europe Ecologie Les Verts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72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Centre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La République en Marche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MoDem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-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Droite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38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UDI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-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Les Républicains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Debout la France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Front National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76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28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24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11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Sans sympathie partisane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29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57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6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59476E" w:rsidRDefault="00AC4D61" w:rsidP="00F53391">
            <w:pPr>
              <w:tabs>
                <w:tab w:val="left" w:pos="349"/>
              </w:tabs>
              <w:spacing w:before="20" w:after="2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VOTE A LA PRESIDENTIELLE 2017 (1er tour)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9476E" w:rsidRDefault="0059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Jean-Luc MELENCHON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Benoît HAMON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5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Emmanuel MACRON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96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40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4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François FILLON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38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50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12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6 </w:t>
            </w:r>
          </w:p>
        </w:tc>
      </w:tr>
      <w:tr w:rsidR="0059476E" w:rsidTr="00C368F8">
        <w:trPr>
          <w:trHeight w:val="203"/>
          <w:jc w:val="center"/>
        </w:trPr>
        <w:tc>
          <w:tcPr>
            <w:tcW w:w="20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76E" w:rsidRDefault="00AC4D61" w:rsidP="00F53391">
            <w:pPr>
              <w:tabs>
                <w:tab w:val="left" w:pos="222"/>
                <w:tab w:val="left" w:pos="349"/>
                <w:tab w:val="right" w:leader="dot" w:pos="3762"/>
              </w:tabs>
              <w:spacing w:before="20" w:after="20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Marine LE PEN </w:t>
            </w:r>
            <w:r>
              <w:rPr>
                <w:sz w:val="15"/>
              </w:rPr>
              <w:tab/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81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28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53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b/>
                <w:bCs/>
                <w:sz w:val="15"/>
              </w:rPr>
              <w:t xml:space="preserve">19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11 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9476E" w:rsidRDefault="00AC4D61">
            <w:pPr>
              <w:spacing w:before="20" w:after="20"/>
              <w:jc w:val="center"/>
            </w:pPr>
            <w:r>
              <w:rPr>
                <w:sz w:val="15"/>
              </w:rPr>
              <w:t xml:space="preserve">8 </w:t>
            </w:r>
          </w:p>
        </w:tc>
      </w:tr>
    </w:tbl>
    <w:p w:rsidR="00AC4D61" w:rsidRDefault="00AC4D6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4D61" w:rsidSect="00F53391">
      <w:pgSz w:w="11905" w:h="16837" w:code="9"/>
      <w:pgMar w:top="1134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3B" w:rsidRDefault="002B283B" w:rsidP="000575C5">
      <w:r>
        <w:separator/>
      </w:r>
    </w:p>
  </w:endnote>
  <w:endnote w:type="continuationSeparator" w:id="0">
    <w:p w:rsidR="002B283B" w:rsidRDefault="002B283B" w:rsidP="000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A4" w:rsidRPr="000627CB" w:rsidRDefault="002B283B" w:rsidP="00EC790F">
    <w:pPr>
      <w:pStyle w:val="Pieddepage"/>
      <w:ind w:right="360"/>
      <w:rPr>
        <w:b/>
        <w:color w:val="A50021"/>
      </w:rPr>
    </w:pPr>
    <w:sdt>
      <w:sdtPr>
        <w:rPr>
          <w:b/>
          <w:color w:val="A50021"/>
        </w:rPr>
        <w:alias w:val="Société"/>
        <w:tag w:val=""/>
        <w:id w:val="-1170860903"/>
        <w:placeholder>
          <w:docPart w:val="68AF2E5906B940118222B052A9914A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368F8">
          <w:rPr>
            <w:b/>
            <w:color w:val="A50021"/>
          </w:rPr>
          <w:t>Ifop</w:t>
        </w:r>
      </w:sdtContent>
    </w:sdt>
    <w:r w:rsidR="00306AA4">
      <w:rPr>
        <w:b/>
        <w:color w:val="A50021"/>
      </w:rPr>
      <w:t xml:space="preserve"> </w:t>
    </w:r>
    <w:r w:rsidR="00306AA4" w:rsidRPr="000627CB">
      <w:rPr>
        <w:b/>
        <w:color w:val="A50021"/>
      </w:rPr>
      <w:t xml:space="preserve">pour </w:t>
    </w:r>
    <w:sdt>
      <w:sdtPr>
        <w:rPr>
          <w:b/>
          <w:color w:val="A50021"/>
        </w:rPr>
        <w:alias w:val="Objet "/>
        <w:tag w:val=""/>
        <w:id w:val="-1934119181"/>
        <w:placeholder>
          <w:docPart w:val="A537FFE05FEE43EDB4F693DE4C852A9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368F8">
          <w:rPr>
            <w:b/>
            <w:color w:val="A50021"/>
          </w:rPr>
          <w:t>Générations Futures</w:t>
        </w:r>
      </w:sdtContent>
    </w:sdt>
  </w:p>
  <w:p w:rsidR="00306AA4" w:rsidRPr="000627CB" w:rsidRDefault="002B283B" w:rsidP="00EC790F">
    <w:pPr>
      <w:pStyle w:val="Pieddepage"/>
      <w:ind w:right="360"/>
      <w:rPr>
        <w:color w:val="A50021"/>
      </w:rPr>
    </w:pPr>
    <w:sdt>
      <w:sdtPr>
        <w:rPr>
          <w:color w:val="A50021"/>
        </w:rPr>
        <w:alias w:val="Titre "/>
        <w:tag w:val=""/>
        <w:id w:val="179552782"/>
        <w:placeholder>
          <w:docPart w:val="3B1EC1E0364941AEA4007B08EE6E05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6AA4">
          <w:rPr>
            <w:color w:val="A50021"/>
          </w:rPr>
          <w:t>L’adhésion à la poursuite et l’amplification de la politique de lutte contre les perturbateurs endocriniens</w:t>
        </w:r>
      </w:sdtContent>
    </w:sdt>
    <w:r w:rsidR="00306AA4">
      <w:rPr>
        <w:color w:val="A50021"/>
      </w:rPr>
      <w:t xml:space="preserve"> </w:t>
    </w:r>
    <w:r w:rsidR="00306AA4" w:rsidRPr="000627CB">
      <w:rPr>
        <w:color w:val="A50021"/>
      </w:rPr>
      <w:sym w:font="Webdings" w:char="F03C"/>
    </w:r>
    <w:r w:rsidR="00306AA4" w:rsidRPr="000627CB">
      <w:rPr>
        <w:color w:val="A50021"/>
      </w:rPr>
      <w:t xml:space="preserve"> </w:t>
    </w:r>
    <w:r w:rsidR="00306AA4">
      <w:rPr>
        <w:color w:val="A50021"/>
      </w:rPr>
      <w:t>Mai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A4" w:rsidRPr="00F53391" w:rsidRDefault="002B283B" w:rsidP="00EC790F">
    <w:pPr>
      <w:pStyle w:val="Pieddepage"/>
      <w:ind w:right="360"/>
      <w:rPr>
        <w:b/>
        <w:color w:val="A50021"/>
        <w:sz w:val="18"/>
      </w:rPr>
    </w:pPr>
    <w:sdt>
      <w:sdtPr>
        <w:rPr>
          <w:b/>
          <w:color w:val="A50021"/>
          <w:sz w:val="18"/>
        </w:rPr>
        <w:alias w:val="Société"/>
        <w:tag w:val=""/>
        <w:id w:val="21909572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368F8">
          <w:rPr>
            <w:b/>
            <w:color w:val="A50021"/>
            <w:sz w:val="18"/>
          </w:rPr>
          <w:t>Ifop</w:t>
        </w:r>
      </w:sdtContent>
    </w:sdt>
    <w:r w:rsidR="00306AA4" w:rsidRPr="00F53391">
      <w:rPr>
        <w:b/>
        <w:color w:val="A50021"/>
        <w:sz w:val="18"/>
      </w:rPr>
      <w:t xml:space="preserve"> pour </w:t>
    </w:r>
    <w:sdt>
      <w:sdtPr>
        <w:rPr>
          <w:b/>
          <w:color w:val="A50021"/>
          <w:sz w:val="18"/>
        </w:rPr>
        <w:alias w:val="Objet "/>
        <w:tag w:val=""/>
        <w:id w:val="-181918386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368F8">
          <w:rPr>
            <w:b/>
            <w:color w:val="A50021"/>
            <w:sz w:val="18"/>
          </w:rPr>
          <w:t>Générations Futures</w:t>
        </w:r>
      </w:sdtContent>
    </w:sdt>
  </w:p>
  <w:p w:rsidR="00306AA4" w:rsidRPr="00F53391" w:rsidRDefault="002B283B" w:rsidP="00EC790F">
    <w:pPr>
      <w:pStyle w:val="Pieddepage"/>
      <w:ind w:right="360"/>
      <w:rPr>
        <w:color w:val="A50021"/>
        <w:sz w:val="18"/>
      </w:rPr>
    </w:pPr>
    <w:sdt>
      <w:sdtPr>
        <w:rPr>
          <w:color w:val="A50021"/>
          <w:sz w:val="18"/>
        </w:rPr>
        <w:alias w:val="Titre "/>
        <w:tag w:val=""/>
        <w:id w:val="-16098812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6AA4" w:rsidRPr="00F53391">
          <w:rPr>
            <w:color w:val="A50021"/>
            <w:sz w:val="18"/>
          </w:rPr>
          <w:t>L’adhésion à la poursuite et l’amplification de la politique de lutte contre les perturbateurs endocriniens</w:t>
        </w:r>
      </w:sdtContent>
    </w:sdt>
    <w:r w:rsidR="00306AA4" w:rsidRPr="00F53391">
      <w:rPr>
        <w:color w:val="A50021"/>
        <w:sz w:val="18"/>
      </w:rPr>
      <w:t xml:space="preserve"> </w:t>
    </w:r>
    <w:r w:rsidR="00306AA4" w:rsidRPr="00F53391">
      <w:rPr>
        <w:color w:val="A50021"/>
        <w:sz w:val="18"/>
      </w:rPr>
      <w:sym w:font="Webdings" w:char="F03C"/>
    </w:r>
    <w:r w:rsidR="00306AA4" w:rsidRPr="00F53391">
      <w:rPr>
        <w:color w:val="A50021"/>
        <w:sz w:val="18"/>
      </w:rPr>
      <w:t xml:space="preserve"> </w:t>
    </w:r>
    <w:r w:rsidR="00F53391">
      <w:rPr>
        <w:color w:val="A50021"/>
        <w:sz w:val="18"/>
      </w:rPr>
      <w:t xml:space="preserve">Juin </w:t>
    </w:r>
    <w:r w:rsidR="00306AA4" w:rsidRPr="00F53391">
      <w:rPr>
        <w:color w:val="A50021"/>
        <w:sz w:val="18"/>
      </w:rPr>
      <w:t>2017</w:t>
    </w:r>
  </w:p>
  <w:p w:rsidR="00306AA4" w:rsidRDefault="00306AA4" w:rsidP="00EC79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A4" w:rsidRPr="002360ED" w:rsidRDefault="00306AA4" w:rsidP="00EC790F">
    <w:pPr>
      <w:pStyle w:val="Pieddepage"/>
      <w:framePr w:wrap="around" w:vAnchor="text" w:hAnchor="margin" w:xAlign="right" w:y="1"/>
      <w:rPr>
        <w:rStyle w:val="Numrodepage"/>
        <w:rFonts w:ascii="Georgia" w:hAnsi="Georgia"/>
        <w:i/>
        <w:color w:val="595959" w:themeColor="text1" w:themeTint="A6"/>
        <w:sz w:val="28"/>
      </w:rPr>
    </w:pPr>
    <w:r w:rsidRPr="002360ED">
      <w:rPr>
        <w:rStyle w:val="Numrodepage"/>
        <w:rFonts w:ascii="Georgia" w:hAnsi="Georgia"/>
        <w:i/>
        <w:color w:val="595959" w:themeColor="text1" w:themeTint="A6"/>
        <w:sz w:val="28"/>
      </w:rPr>
      <w:fldChar w:fldCharType="begin"/>
    </w:r>
    <w:r w:rsidRPr="002360ED">
      <w:rPr>
        <w:rStyle w:val="Numrodepage"/>
        <w:rFonts w:ascii="Georgia" w:hAnsi="Georgia"/>
        <w:i/>
        <w:color w:val="595959" w:themeColor="text1" w:themeTint="A6"/>
        <w:sz w:val="28"/>
      </w:rPr>
      <w:instrText xml:space="preserve">PAGE  </w:instrText>
    </w:r>
    <w:r w:rsidRPr="002360ED">
      <w:rPr>
        <w:rStyle w:val="Numrodepage"/>
        <w:rFonts w:ascii="Georgia" w:hAnsi="Georgia"/>
        <w:i/>
        <w:color w:val="595959" w:themeColor="text1" w:themeTint="A6"/>
        <w:sz w:val="28"/>
      </w:rPr>
      <w:fldChar w:fldCharType="separate"/>
    </w:r>
    <w:r w:rsidR="00534FA2">
      <w:rPr>
        <w:rStyle w:val="Numrodepage"/>
        <w:rFonts w:ascii="Georgia" w:hAnsi="Georgia"/>
        <w:i/>
        <w:noProof/>
        <w:color w:val="595959" w:themeColor="text1" w:themeTint="A6"/>
        <w:sz w:val="28"/>
      </w:rPr>
      <w:t>2</w:t>
    </w:r>
    <w:r w:rsidRPr="002360ED">
      <w:rPr>
        <w:rStyle w:val="Numrodepage"/>
        <w:rFonts w:ascii="Georgia" w:hAnsi="Georgia"/>
        <w:i/>
        <w:color w:val="595959" w:themeColor="text1" w:themeTint="A6"/>
        <w:sz w:val="28"/>
      </w:rPr>
      <w:fldChar w:fldCharType="end"/>
    </w:r>
  </w:p>
  <w:p w:rsidR="00306AA4" w:rsidRPr="00F53391" w:rsidRDefault="002B283B" w:rsidP="00EC790F">
    <w:pPr>
      <w:pStyle w:val="Pieddepage"/>
      <w:ind w:right="360"/>
      <w:rPr>
        <w:b/>
        <w:color w:val="A50021"/>
        <w:sz w:val="18"/>
      </w:rPr>
    </w:pPr>
    <w:sdt>
      <w:sdtPr>
        <w:rPr>
          <w:b/>
          <w:color w:val="A50021"/>
          <w:sz w:val="18"/>
        </w:rPr>
        <w:alias w:val="Société"/>
        <w:tag w:val=""/>
        <w:id w:val="703141568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368F8">
          <w:rPr>
            <w:b/>
            <w:color w:val="A50021"/>
            <w:sz w:val="18"/>
          </w:rPr>
          <w:t>Ifop</w:t>
        </w:r>
      </w:sdtContent>
    </w:sdt>
    <w:r w:rsidR="00306AA4" w:rsidRPr="00F53391">
      <w:rPr>
        <w:b/>
        <w:color w:val="A50021"/>
        <w:sz w:val="18"/>
      </w:rPr>
      <w:t xml:space="preserve"> pour </w:t>
    </w:r>
    <w:sdt>
      <w:sdtPr>
        <w:rPr>
          <w:b/>
          <w:color w:val="A50021"/>
          <w:sz w:val="18"/>
        </w:rPr>
        <w:alias w:val="Objet "/>
        <w:tag w:val=""/>
        <w:id w:val="-15146084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368F8">
          <w:rPr>
            <w:b/>
            <w:color w:val="A50021"/>
            <w:sz w:val="18"/>
          </w:rPr>
          <w:t>Générations Futures</w:t>
        </w:r>
      </w:sdtContent>
    </w:sdt>
  </w:p>
  <w:p w:rsidR="00306AA4" w:rsidRPr="00F53391" w:rsidRDefault="002B283B" w:rsidP="00EC790F">
    <w:pPr>
      <w:pStyle w:val="Pieddepage"/>
      <w:ind w:right="360"/>
      <w:rPr>
        <w:color w:val="A50021"/>
        <w:sz w:val="18"/>
      </w:rPr>
    </w:pPr>
    <w:sdt>
      <w:sdtPr>
        <w:rPr>
          <w:color w:val="A50021"/>
          <w:sz w:val="18"/>
        </w:rPr>
        <w:alias w:val="Titre "/>
        <w:tag w:val=""/>
        <w:id w:val="17366656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6AA4" w:rsidRPr="00F53391">
          <w:rPr>
            <w:color w:val="A50021"/>
            <w:sz w:val="18"/>
          </w:rPr>
          <w:t>L’adhésion à la poursuite et l’amplification de la politique de lutte contre les perturbateurs endocriniens</w:t>
        </w:r>
      </w:sdtContent>
    </w:sdt>
    <w:r w:rsidR="00306AA4" w:rsidRPr="00F53391">
      <w:rPr>
        <w:color w:val="A50021"/>
        <w:sz w:val="18"/>
      </w:rPr>
      <w:t xml:space="preserve"> </w:t>
    </w:r>
    <w:r w:rsidR="00306AA4" w:rsidRPr="00F53391">
      <w:rPr>
        <w:color w:val="A50021"/>
        <w:sz w:val="18"/>
      </w:rPr>
      <w:sym w:font="Webdings" w:char="F03C"/>
    </w:r>
    <w:r w:rsidR="00306AA4" w:rsidRPr="00F53391">
      <w:rPr>
        <w:color w:val="A50021"/>
        <w:sz w:val="18"/>
      </w:rPr>
      <w:t xml:space="preserve"> </w:t>
    </w:r>
    <w:r w:rsidR="00F53391">
      <w:rPr>
        <w:color w:val="A50021"/>
        <w:sz w:val="18"/>
      </w:rPr>
      <w:t xml:space="preserve">Juin </w:t>
    </w:r>
    <w:r w:rsidR="00306AA4" w:rsidRPr="00F53391">
      <w:rPr>
        <w:color w:val="A50021"/>
        <w:sz w:val="18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3B" w:rsidRDefault="002B283B" w:rsidP="000575C5">
      <w:r>
        <w:separator/>
      </w:r>
    </w:p>
  </w:footnote>
  <w:footnote w:type="continuationSeparator" w:id="0">
    <w:p w:rsidR="002B283B" w:rsidRDefault="002B283B" w:rsidP="0005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376" w:rsidRDefault="000F43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376" w:rsidRDefault="000F43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376" w:rsidRDefault="000F43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584D"/>
    <w:multiLevelType w:val="singleLevel"/>
    <w:tmpl w:val="FBAA2DBA"/>
    <w:lvl w:ilvl="0">
      <w:start w:val="1"/>
      <w:numFmt w:val="bullet"/>
      <w:lvlText w:val="•"/>
      <w:lvlJc w:val="left"/>
      <w:pPr>
        <w:tabs>
          <w:tab w:val="num" w:pos="360"/>
        </w:tabs>
        <w:ind w:left="170" w:hanging="170"/>
      </w:pPr>
      <w:rPr>
        <w:rFonts w:ascii="Calibri" w:hAnsi="Calibri" w:cs="Calibri" w:hint="default"/>
        <w:color w:val="auto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E0"/>
    <w:rsid w:val="000575C5"/>
    <w:rsid w:val="000F4376"/>
    <w:rsid w:val="00137A88"/>
    <w:rsid w:val="002B283B"/>
    <w:rsid w:val="002E70A2"/>
    <w:rsid w:val="00306AA4"/>
    <w:rsid w:val="00534FA2"/>
    <w:rsid w:val="0059476E"/>
    <w:rsid w:val="0091556A"/>
    <w:rsid w:val="00AC4D61"/>
    <w:rsid w:val="00B97142"/>
    <w:rsid w:val="00C368F8"/>
    <w:rsid w:val="00DE17E0"/>
    <w:rsid w:val="00F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4BA8A5-F1A6-44B8-972B-5423050F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left" w:pos="3611"/>
      </w:tabs>
      <w:jc w:val="center"/>
      <w:outlineLvl w:val="0"/>
    </w:pPr>
    <w:rPr>
      <w:rFonts w:eastAsiaTheme="minorEastAsia"/>
      <w:b/>
      <w:sz w:val="50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tabs>
        <w:tab w:val="left" w:pos="217"/>
        <w:tab w:val="num" w:pos="500"/>
        <w:tab w:val="num" w:pos="642"/>
        <w:tab w:val="right" w:leader="dot" w:pos="3755"/>
      </w:tabs>
      <w:spacing w:before="60" w:after="60"/>
      <w:ind w:left="170" w:hanging="170"/>
      <w:outlineLvl w:val="1"/>
    </w:pPr>
    <w:rPr>
      <w:rFonts w:eastAsiaTheme="minorEastAsia"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before="120" w:after="120"/>
      <w:jc w:val="center"/>
      <w:outlineLvl w:val="2"/>
    </w:pPr>
    <w:rPr>
      <w:rFonts w:eastAsiaTheme="minorEastAsia"/>
      <w:b/>
      <w:bCs/>
      <w:color w:val="800000"/>
      <w:sz w:val="40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left" w:pos="284"/>
        <w:tab w:val="left" w:pos="709"/>
        <w:tab w:val="left" w:pos="1135"/>
        <w:tab w:val="left" w:leader="dot" w:pos="8506"/>
      </w:tabs>
      <w:outlineLvl w:val="3"/>
    </w:pPr>
    <w:rPr>
      <w:rFonts w:eastAsiaTheme="minorEastAsia"/>
      <w:b/>
      <w:sz w:val="28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tabs>
        <w:tab w:val="left" w:pos="284"/>
        <w:tab w:val="left" w:pos="709"/>
        <w:tab w:val="left" w:pos="1135"/>
        <w:tab w:val="left" w:pos="8506"/>
      </w:tabs>
      <w:outlineLvl w:val="4"/>
    </w:pPr>
    <w:rPr>
      <w:rFonts w:eastAsiaTheme="minorEastAsia"/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Calibri" w:eastAsiaTheme="minorEastAsia" w:hAnsi="Calibri" w:cs="Calibri"/>
      <w:b/>
      <w:sz w:val="5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="Calibri" w:eastAsiaTheme="minorEastAsia" w:hAnsi="Calibri" w:cs="Calibri"/>
      <w:b/>
      <w:bCs/>
      <w:color w:val="800000"/>
      <w:sz w:val="4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Calibri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</w:tabs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Calibri" w:eastAsia="Calibri" w:hAnsi="Calibri" w:cs="Calibri"/>
    </w:rPr>
  </w:style>
  <w:style w:type="paragraph" w:styleId="Corpsdetexte2">
    <w:name w:val="Body Text 2"/>
    <w:basedOn w:val="Normal"/>
    <w:link w:val="Corpsdetexte2Car"/>
    <w:uiPriority w:val="99"/>
    <w:unhideWhenUsed/>
    <w:pPr>
      <w:spacing w:before="120" w:after="120"/>
      <w:jc w:val="both"/>
    </w:pPr>
    <w:rPr>
      <w:sz w:val="26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Calibri" w:eastAsia="Calibri" w:hAnsi="Calibri" w:cs="Calibri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pPr>
      <w:shd w:val="clear" w:color="auto" w:fill="80000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customStyle="1" w:styleId="ifop">
    <w:name w:val="ifop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7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7E0"/>
    <w:rPr>
      <w:rFonts w:ascii="Tahoma" w:eastAsia="Calibri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0575C5"/>
  </w:style>
  <w:style w:type="paragraph" w:styleId="TM1">
    <w:name w:val="toc 1"/>
    <w:basedOn w:val="Normal"/>
    <w:next w:val="Normal"/>
    <w:autoRedefine/>
    <w:uiPriority w:val="39"/>
    <w:unhideWhenUsed/>
    <w:rsid w:val="00F53391"/>
    <w:pPr>
      <w:tabs>
        <w:tab w:val="left" w:pos="567"/>
        <w:tab w:val="right" w:leader="dot" w:pos="9638"/>
      </w:tabs>
      <w:spacing w:before="360" w:after="360"/>
    </w:pPr>
    <w:rPr>
      <w:b/>
      <w:sz w:val="28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0575C5"/>
    <w:pPr>
      <w:tabs>
        <w:tab w:val="left" w:pos="567"/>
        <w:tab w:val="right" w:leader="dot" w:pos="9638"/>
      </w:tabs>
      <w:spacing w:before="120" w:after="120"/>
      <w:ind w:left="200" w:firstLine="198"/>
    </w:pPr>
    <w:rPr>
      <w:b/>
      <w:sz w:val="28"/>
    </w:rPr>
  </w:style>
  <w:style w:type="paragraph" w:styleId="TM3">
    <w:name w:val="toc 3"/>
    <w:basedOn w:val="Normal"/>
    <w:next w:val="Normal"/>
    <w:autoRedefine/>
    <w:uiPriority w:val="39"/>
    <w:unhideWhenUsed/>
    <w:rsid w:val="00F53391"/>
    <w:pPr>
      <w:tabs>
        <w:tab w:val="left" w:pos="567"/>
        <w:tab w:val="right" w:leader="dot" w:pos="9638"/>
      </w:tabs>
      <w:spacing w:before="120" w:after="120"/>
      <w:ind w:left="567"/>
    </w:pPr>
    <w:rPr>
      <w:color w:val="800000"/>
    </w:rPr>
  </w:style>
  <w:style w:type="character" w:styleId="lev">
    <w:name w:val="Strong"/>
    <w:uiPriority w:val="22"/>
    <w:qFormat/>
    <w:rsid w:val="00306AA4"/>
    <w:rPr>
      <w:b/>
      <w:bCs/>
    </w:rPr>
  </w:style>
  <w:style w:type="paragraph" w:styleId="NormalWeb">
    <w:name w:val="Normal (Web)"/>
    <w:basedOn w:val="Normal"/>
    <w:uiPriority w:val="99"/>
    <w:unhideWhenUsed/>
    <w:rsid w:val="00306AA4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Textedelespacerserv">
    <w:name w:val="Placeholder Text"/>
    <w:basedOn w:val="Policepardfaut"/>
    <w:uiPriority w:val="99"/>
    <w:semiHidden/>
    <w:rsid w:val="00306AA4"/>
    <w:rPr>
      <w:color w:val="808080"/>
    </w:rPr>
  </w:style>
  <w:style w:type="table" w:styleId="Grilledutableau">
    <w:name w:val="Table Grid"/>
    <w:aliases w:val="DEFAULT_TABLE"/>
    <w:basedOn w:val="TableauNormal"/>
    <w:uiPriority w:val="99"/>
    <w:rsid w:val="00306AA4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06AA4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06AA4"/>
    <w:rPr>
      <w:rFonts w:asciiTheme="minorHAnsi" w:eastAsiaTheme="minorEastAsia" w:hAnsiTheme="minorHAnsi" w:cstheme="minorBid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1EC1E0364941AEA4007B08EE6E0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1E6EA-AA62-4F89-84A9-9D7B99E9B104}"/>
      </w:docPartPr>
      <w:docPartBody>
        <w:p w:rsidR="000E1619" w:rsidRDefault="000F7BF8" w:rsidP="000F7BF8">
          <w:pPr>
            <w:pStyle w:val="3B1EC1E0364941AEA4007B08EE6E0558"/>
          </w:pPr>
          <w:r w:rsidRPr="006560ED">
            <w:rPr>
              <w:rStyle w:val="Textedelespacerserv"/>
            </w:rPr>
            <w:t>[Titre ]</w:t>
          </w:r>
        </w:p>
      </w:docPartBody>
    </w:docPart>
    <w:docPart>
      <w:docPartPr>
        <w:name w:val="A537FFE05FEE43EDB4F693DE4C852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EE070-8E9D-418B-984E-4789B9A6284C}"/>
      </w:docPartPr>
      <w:docPartBody>
        <w:p w:rsidR="000E1619" w:rsidRDefault="000F7BF8" w:rsidP="000F7BF8">
          <w:pPr>
            <w:pStyle w:val="A537FFE05FEE43EDB4F693DE4C852A9A"/>
          </w:pPr>
          <w:r w:rsidRPr="006560ED">
            <w:rPr>
              <w:rStyle w:val="Textedelespacerserv"/>
            </w:rPr>
            <w:t>[Société]</w:t>
          </w:r>
        </w:p>
      </w:docPartBody>
    </w:docPart>
    <w:docPart>
      <w:docPartPr>
        <w:name w:val="68AF2E5906B940118222B052A9914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6B8EB-4EC2-4388-8B2B-0EDB2BBB1A4F}"/>
      </w:docPartPr>
      <w:docPartBody>
        <w:p w:rsidR="000E1619" w:rsidRDefault="000F7BF8" w:rsidP="000F7BF8">
          <w:pPr>
            <w:pStyle w:val="68AF2E5906B940118222B052A9914AD0"/>
          </w:pPr>
          <w:r w:rsidRPr="006560ED">
            <w:rPr>
              <w:rStyle w:val="Textedelespacerserv"/>
            </w:rPr>
            <w:t>[Objet ]</w:t>
          </w:r>
        </w:p>
      </w:docPartBody>
    </w:docPart>
    <w:docPart>
      <w:docPartPr>
        <w:name w:val="35DC918E1F0949B598E6B9A3BA174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7F094-BA37-42CE-99D8-FD37E83CA920}"/>
      </w:docPartPr>
      <w:docPartBody>
        <w:p w:rsidR="000E1619" w:rsidRDefault="000F7BF8" w:rsidP="000F7BF8">
          <w:pPr>
            <w:pStyle w:val="35DC918E1F0949B598E6B9A3BA1748E4"/>
          </w:pPr>
          <w:r w:rsidRPr="004859F0">
            <w:rPr>
              <w:rStyle w:val="Textedelespacerserv"/>
            </w:rPr>
            <w:t>[Objet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8"/>
    <w:rsid w:val="000E1619"/>
    <w:rsid w:val="000F7BF8"/>
    <w:rsid w:val="005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7BF8"/>
    <w:rPr>
      <w:color w:val="808080"/>
    </w:rPr>
  </w:style>
  <w:style w:type="paragraph" w:customStyle="1" w:styleId="3B1EC1E0364941AEA4007B08EE6E0558">
    <w:name w:val="3B1EC1E0364941AEA4007B08EE6E0558"/>
    <w:rsid w:val="000F7BF8"/>
  </w:style>
  <w:style w:type="paragraph" w:customStyle="1" w:styleId="A537FFE05FEE43EDB4F693DE4C852A9A">
    <w:name w:val="A537FFE05FEE43EDB4F693DE4C852A9A"/>
    <w:rsid w:val="000F7BF8"/>
  </w:style>
  <w:style w:type="paragraph" w:customStyle="1" w:styleId="68AF2E5906B940118222B052A9914AD0">
    <w:name w:val="68AF2E5906B940118222B052A9914AD0"/>
    <w:rsid w:val="000F7BF8"/>
  </w:style>
  <w:style w:type="paragraph" w:customStyle="1" w:styleId="35DC918E1F0949B598E6B9A3BA1748E4">
    <w:name w:val="35DC918E1F0949B598E6B9A3BA1748E4"/>
    <w:rsid w:val="000F7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2976-05C9-4A09-BF62-C668C6BF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L’adhésion à la poursuite et l’amplification de la politique de lutte contre les perturbateurs endocriniens</vt:lpstr>
    </vt:vector>
  </TitlesOfParts>
  <Company>Ifop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L’adhésion à la poursuite et l’amplification de la politique de lutte contre les perturbateurs endocriniens</dc:title>
  <dc:subject>Générations Futures</dc:subject>
  <dc:creator>politique</dc:creator>
  <cp:keywords/>
  <dc:description/>
  <cp:lastModifiedBy>nadine lauverjat</cp:lastModifiedBy>
  <cp:revision>2</cp:revision>
  <cp:lastPrinted>2000-01-03T15:13:00Z</cp:lastPrinted>
  <dcterms:created xsi:type="dcterms:W3CDTF">2017-06-20T08:11:00Z</dcterms:created>
  <dcterms:modified xsi:type="dcterms:W3CDTF">2017-06-20T08:11:00Z</dcterms:modified>
</cp:coreProperties>
</file>