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C463" w14:textId="77777777" w:rsidR="00290ACE" w:rsidRDefault="00290ACE" w:rsidP="00A4650C">
      <w:pPr>
        <w:pStyle w:val="Titre1"/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</w:pPr>
    </w:p>
    <w:p w14:paraId="335EF929" w14:textId="4A6855D7" w:rsidR="00A4650C" w:rsidRPr="00290ACE" w:rsidRDefault="00BA713C" w:rsidP="00290ACE">
      <w:pPr>
        <w:pStyle w:val="Titre1"/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</w:pPr>
      <w:r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 xml:space="preserve">ARGUMENTAIRES </w:t>
      </w:r>
      <w:r w:rsidR="001279E6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POUR R</w:t>
      </w:r>
      <w:r w:rsidR="00761DDF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É</w:t>
      </w:r>
      <w:r w:rsidR="001279E6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 xml:space="preserve">PONDRE </w:t>
      </w:r>
      <w:r w:rsidR="00761DDF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À</w:t>
      </w:r>
      <w:r w:rsidR="001279E6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 xml:space="preserve"> LA </w:t>
      </w:r>
      <w:r w:rsidR="008414CF"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CO</w:t>
      </w:r>
      <w:r w:rsidR="00F45750"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NSULTATION PUBLIQUE SUR LE D</w:t>
      </w:r>
      <w:r w:rsidR="00761DDF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É</w:t>
      </w:r>
      <w:r w:rsidR="00F45750"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 xml:space="preserve">CRET RELATIF </w:t>
      </w:r>
      <w:r w:rsidR="00761DDF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À</w:t>
      </w:r>
      <w:r w:rsidR="00F45750"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 xml:space="preserve"> L’ENCADREMENT DE CERTAINES CAT</w:t>
      </w:r>
      <w:r w:rsidR="00761DDF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É</w:t>
      </w:r>
      <w:r w:rsidR="00F45750" w:rsidRPr="00A4650C">
        <w:rPr>
          <w:rFonts w:ascii="Helvetica LT Std" w:eastAsia="Times New Roman" w:hAnsi="Helvetica LT Std" w:cs="Arial"/>
          <w:b/>
          <w:bCs/>
          <w:color w:val="ED7D31" w:themeColor="accent2"/>
          <w:kern w:val="24"/>
          <w:sz w:val="28"/>
          <w:szCs w:val="28"/>
          <w:lang w:val="fr-CI" w:eastAsia="fr-FR"/>
        </w:rPr>
        <w:t>GORIES DE PRODUITS BIOCIDES</w:t>
      </w:r>
    </w:p>
    <w:p w14:paraId="11D1E247" w14:textId="77777777" w:rsidR="00944B3A" w:rsidRDefault="00944B3A" w:rsidP="009E43B6"/>
    <w:p w14:paraId="5D8962A6" w14:textId="3BE28281" w:rsidR="00290ACE" w:rsidRDefault="00290ACE" w:rsidP="009E43B6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B91479" wp14:editId="03533875">
                <wp:simplePos x="0" y="0"/>
                <wp:positionH relativeFrom="margin">
                  <wp:posOffset>26670</wp:posOffset>
                </wp:positionH>
                <wp:positionV relativeFrom="paragraph">
                  <wp:posOffset>255905</wp:posOffset>
                </wp:positionV>
                <wp:extent cx="5591175" cy="720090"/>
                <wp:effectExtent l="133350" t="76200" r="142875" b="80010"/>
                <wp:wrapNone/>
                <wp:docPr id="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720090"/>
                          <a:chOff x="0" y="0"/>
                          <a:chExt cx="5256584" cy="720000"/>
                        </a:xfrm>
                      </wpg:grpSpPr>
                      <wpg:grpSp>
                        <wpg:cNvPr id="5" name="Group 5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5256584" cy="720000"/>
                            <a:chOff x="0" y="0"/>
                            <a:chExt cx="5256584" cy="576064"/>
                          </a:xfrm>
                        </wpg:grpSpPr>
                        <wps:wsp>
                          <wps:cNvPr id="6" name="Rectangle 6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256584" cy="5760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ight Triangle 4">
                            <a:extLst/>
                          </wps:cNvPr>
                          <wps:cNvSpPr/>
                          <wps:spPr>
                            <a:xfrm rot="5400000">
                              <a:off x="72000" y="-72000"/>
                              <a:ext cx="576000" cy="72000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Box 25">
                          <a:extLst/>
                        </wps:cNvPr>
                        <wps:cNvSpPr txBox="1"/>
                        <wps:spPr>
                          <a:xfrm>
                            <a:off x="0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3CBDCF" w14:textId="77777777" w:rsidR="00847B4B" w:rsidRDefault="00847B4B" w:rsidP="00847B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elvetica LT Std" w:hAnsi="Helvetica LT Std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9" name="Group 6">
                          <a:extLst/>
                        </wpg:cNvPr>
                        <wpg:cNvGrpSpPr/>
                        <wpg:grpSpPr>
                          <a:xfrm>
                            <a:off x="717536" y="82550"/>
                            <a:ext cx="4392309" cy="547262"/>
                            <a:chOff x="717536" y="82550"/>
                            <a:chExt cx="4392309" cy="547262"/>
                          </a:xfrm>
                        </wpg:grpSpPr>
                        <wps:wsp>
                          <wps:cNvPr id="10" name="TextBox 29">
                            <a:extLst/>
                          </wps:cNvPr>
                          <wps:cNvSpPr txBox="1"/>
                          <wps:spPr>
                            <a:xfrm>
                              <a:off x="717550" y="82550"/>
                              <a:ext cx="4392295" cy="3028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D5C7D9" w14:textId="77777777" w:rsidR="00847B4B" w:rsidRDefault="00A4650C" w:rsidP="00847B4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elvetica LT Std" w:hAnsi="Helvetica LT Std" w:cs="Arial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  <w:sz w:val="28"/>
                                    <w:szCs w:val="28"/>
                                    <w:lang w:val="fr-CI"/>
                                  </w:rPr>
                                  <w:t>Rappel du contexte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" name="TextBox 30">
                            <a:extLst/>
                          </wps:cNvPr>
                          <wps:cNvSpPr txBox="1"/>
                          <wps:spPr>
                            <a:xfrm>
                              <a:off x="717536" y="351184"/>
                              <a:ext cx="4392295" cy="2786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65FF2C" w14:textId="77777777" w:rsidR="00847B4B" w:rsidRDefault="00847B4B" w:rsidP="00847B4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91479" id="Groupe 44" o:spid="_x0000_s1026" style="position:absolute;margin-left:2.1pt;margin-top:20.15pt;width:440.25pt;height:56.7pt;z-index:251660288;mso-position-horizontal-relative:margin;mso-width-relative:margin;mso-height-relative:margin" coordsize="5256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">
                <v:group id="Group 5" o:spid="_x0000_s1027" style="position:absolute;width:52565;height:7200" coordsize="5256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28" style="position:absolute;width:5256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" fillcolor="window" stroked="f" strokeweight="1pt">
                    <v:shadow on="t" type="perspective" color="black" opacity="26214f" offset="0,0" matrix="66847f,,,66847f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4" o:spid="_x0000_s1029" type="#_x0000_t6" style="position:absolute;left:720;top:-720;width:5760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" fillcolor="#ed7d31 [3205]" stroked="f" strokeweight="1pt">
                    <v:shadow on="t" type="perspective" color="black" opacity="26214f" offset="0,0" matrix="66847f,,,66847f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0" type="#_x0000_t202" style="position:absolute;width:533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13CBDCF" w14:textId="77777777" w:rsidR="00847B4B" w:rsidRDefault="00847B4B" w:rsidP="00847B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Helvetica LT Std" w:hAnsi="Helvetica LT Std" w:cs="Arial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lang w:val="en-US"/>
                          </w:rPr>
                          <w:t>01</w:t>
                        </w:r>
                      </w:p>
                    </w:txbxContent>
                  </v:textbox>
                </v:shape>
                <v:group id="Group 6" o:spid="_x0000_s1031" style="position:absolute;left:7175;top:825;width:43923;height:5473" coordorigin="7175,825" coordsize="43923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Box 29" o:spid="_x0000_s1032" type="#_x0000_t202" style="position:absolute;left:7175;top:825;width:43923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11D5C7D9" w14:textId="77777777" w:rsidR="00847B4B" w:rsidRDefault="00A4650C" w:rsidP="00847B4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Helvetica LT Std" w:hAnsi="Helvetica LT Std" w:cs="Arial"/>
                              <w:b/>
                              <w:bCs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fr-CI"/>
                            </w:rPr>
                            <w:t>Rappel du contexte</w:t>
                          </w:r>
                        </w:p>
                      </w:txbxContent>
                    </v:textbox>
                  </v:shape>
                  <v:shape id="TextBox 30" o:spid="_x0000_s1033" type="#_x0000_t202" style="position:absolute;left:7175;top:3511;width:43923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165FF2C" w14:textId="77777777" w:rsidR="00847B4B" w:rsidRDefault="00847B4B" w:rsidP="00847B4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A9A6274" w14:textId="77777777" w:rsidR="009E43B6" w:rsidRDefault="009E43B6" w:rsidP="009E43B6"/>
    <w:p w14:paraId="0FBFE86A" w14:textId="77777777" w:rsidR="00847B4B" w:rsidRDefault="00847B4B" w:rsidP="009E43B6"/>
    <w:p w14:paraId="5043F01E" w14:textId="77777777" w:rsidR="00847B4B" w:rsidRPr="009E43B6" w:rsidRDefault="00847B4B" w:rsidP="009E43B6"/>
    <w:p w14:paraId="595F7EEC" w14:textId="77777777" w:rsidR="000440E9" w:rsidRDefault="0046166C" w:rsidP="000D6FFE">
      <w:pPr>
        <w:jc w:val="both"/>
        <w:rPr>
          <w:rFonts w:ascii="Helvetica LT Std Light" w:hAnsi="Helvetica LT Std Light"/>
        </w:rPr>
      </w:pPr>
      <w:r w:rsidRPr="00A4650C">
        <w:rPr>
          <w:rFonts w:ascii="Helvetica LT Std Light" w:hAnsi="Helvetica LT Std Light"/>
        </w:rPr>
        <w:t xml:space="preserve">Le projet de décrets </w:t>
      </w:r>
      <w:r w:rsidR="008F6B20" w:rsidRPr="00A4650C">
        <w:rPr>
          <w:rFonts w:ascii="Helvetica LT Std Light" w:hAnsi="Helvetica LT Std Light"/>
        </w:rPr>
        <w:t xml:space="preserve">permettant l’application de l’article 76 figurant dans la loi Agriculture et alimentation </w:t>
      </w:r>
      <w:r w:rsidR="00526E67" w:rsidRPr="00A4650C">
        <w:rPr>
          <w:rFonts w:ascii="Helvetica LT Std Light" w:hAnsi="Helvetica LT Std Light"/>
        </w:rPr>
        <w:t xml:space="preserve">(loi </w:t>
      </w:r>
      <w:proofErr w:type="spellStart"/>
      <w:r w:rsidR="00526E67" w:rsidRPr="00A4650C">
        <w:rPr>
          <w:rFonts w:ascii="Helvetica LT Std Light" w:hAnsi="Helvetica LT Std Light"/>
        </w:rPr>
        <w:t>Egalim</w:t>
      </w:r>
      <w:proofErr w:type="spellEnd"/>
      <w:r w:rsidR="00526E67" w:rsidRPr="00A4650C">
        <w:rPr>
          <w:rFonts w:ascii="Helvetica LT Std Light" w:hAnsi="Helvetica LT Std Light"/>
        </w:rPr>
        <w:t xml:space="preserve">) </w:t>
      </w:r>
      <w:r w:rsidR="008F6B20" w:rsidRPr="00A4650C">
        <w:rPr>
          <w:rFonts w:ascii="Helvetica LT Std Light" w:hAnsi="Helvetica LT Std Light"/>
        </w:rPr>
        <w:t>adoptée en octobre 2018</w:t>
      </w:r>
      <w:r w:rsidR="00492802" w:rsidRPr="00A4650C">
        <w:rPr>
          <w:rFonts w:ascii="Helvetica LT Std Light" w:hAnsi="Helvetica LT Std Light"/>
        </w:rPr>
        <w:t>,</w:t>
      </w:r>
      <w:r w:rsidR="008F6B20" w:rsidRPr="00A4650C">
        <w:rPr>
          <w:rFonts w:ascii="Helvetica LT Std Light" w:hAnsi="Helvetica LT Std Light"/>
        </w:rPr>
        <w:t xml:space="preserve"> vis</w:t>
      </w:r>
      <w:r w:rsidR="002748E1" w:rsidRPr="00A4650C">
        <w:rPr>
          <w:rFonts w:ascii="Helvetica LT Std Light" w:hAnsi="Helvetica LT Std Light"/>
        </w:rPr>
        <w:t>e</w:t>
      </w:r>
      <w:r w:rsidR="008F6B20" w:rsidRPr="00A4650C">
        <w:rPr>
          <w:rFonts w:ascii="Helvetica LT Std Light" w:hAnsi="Helvetica LT Std Light"/>
        </w:rPr>
        <w:t xml:space="preserve"> un meilleur encadrement de la commercialisation des produits biocides pour les particuliers</w:t>
      </w:r>
      <w:r w:rsidR="002748E1" w:rsidRPr="00A4650C">
        <w:rPr>
          <w:rFonts w:ascii="Helvetica LT Std Light" w:hAnsi="Helvetica LT Std Light"/>
        </w:rPr>
        <w:t xml:space="preserve">. </w:t>
      </w:r>
    </w:p>
    <w:p w14:paraId="3F94FD46" w14:textId="746A9E74" w:rsidR="00433626" w:rsidRDefault="00433626" w:rsidP="000D6FFE">
      <w:pPr>
        <w:jc w:val="both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Pour rappel, les</w:t>
      </w:r>
      <w:r w:rsidRPr="00433626">
        <w:rPr>
          <w:rFonts w:ascii="Helvetica LT Std Light" w:hAnsi="Helvetica LT Std Light"/>
        </w:rPr>
        <w:t xml:space="preserve"> produits biocides sont des substances ou des préparations destinées à détruire, repousser ou rendre inoffensifs </w:t>
      </w:r>
      <w:r>
        <w:rPr>
          <w:rFonts w:ascii="Helvetica LT Std Light" w:hAnsi="Helvetica LT Std Light"/>
        </w:rPr>
        <w:t>des</w:t>
      </w:r>
      <w:r w:rsidRPr="00433626">
        <w:rPr>
          <w:rFonts w:ascii="Helvetica LT Std Light" w:hAnsi="Helvetica LT Std Light"/>
        </w:rPr>
        <w:t xml:space="preserve"> organismes </w:t>
      </w:r>
      <w:r>
        <w:rPr>
          <w:rFonts w:ascii="Helvetica LT Std Light" w:hAnsi="Helvetica LT Std Light"/>
        </w:rPr>
        <w:t xml:space="preserve">considérés comme </w:t>
      </w:r>
      <w:r w:rsidRPr="00433626">
        <w:rPr>
          <w:rFonts w:ascii="Helvetica LT Std Light" w:hAnsi="Helvetica LT Std Light"/>
        </w:rPr>
        <w:t>nuisibles, à en prévenir l'action ou à les combattre, par une action chimique ou biologique.</w:t>
      </w:r>
      <w:r>
        <w:rPr>
          <w:rFonts w:ascii="Helvetica LT Std Light" w:hAnsi="Helvetica LT Std Light"/>
        </w:rPr>
        <w:t xml:space="preserve"> D’un point de vu règlementaire ils couvrent principalement les produits à usages domestiques (type </w:t>
      </w:r>
      <w:r w:rsidR="00FF23E9">
        <w:rPr>
          <w:rFonts w:ascii="Helvetica LT Std Light" w:hAnsi="Helvetica LT Std Light"/>
        </w:rPr>
        <w:t>insecticides</w:t>
      </w:r>
      <w:r>
        <w:rPr>
          <w:rFonts w:ascii="Helvetica LT Std Light" w:hAnsi="Helvetica LT Std Light"/>
        </w:rPr>
        <w:t>) ou industriels (type désinfectants).</w:t>
      </w:r>
    </w:p>
    <w:p w14:paraId="51C54297" w14:textId="77777777" w:rsidR="00433626" w:rsidRDefault="007E1EF1" w:rsidP="000D6FFE">
      <w:pPr>
        <w:jc w:val="both"/>
        <w:rPr>
          <w:rFonts w:ascii="Helvetica LT Std Light" w:hAnsi="Helvetica LT Std Light"/>
        </w:rPr>
      </w:pPr>
      <w:r w:rsidRPr="00A4650C">
        <w:rPr>
          <w:rFonts w:ascii="Helvetica LT Std Light" w:hAnsi="Helvetica LT Std Light"/>
        </w:rPr>
        <w:t>Malgré l’annonce de mesures ambitieuses</w:t>
      </w:r>
      <w:r w:rsidR="00BF59A3" w:rsidRPr="00A4650C">
        <w:rPr>
          <w:rFonts w:ascii="Helvetica LT Std Light" w:hAnsi="Helvetica LT Std Light"/>
        </w:rPr>
        <w:t xml:space="preserve"> </w:t>
      </w:r>
      <w:r w:rsidR="00BA713C" w:rsidRPr="00A4650C">
        <w:rPr>
          <w:rFonts w:ascii="Helvetica LT Std Light" w:hAnsi="Helvetica LT Std Light"/>
        </w:rPr>
        <w:t xml:space="preserve">annoncées dans la loi, </w:t>
      </w:r>
      <w:r w:rsidRPr="00A4650C">
        <w:rPr>
          <w:rFonts w:ascii="Helvetica LT Std Light" w:hAnsi="Helvetica LT Std Light"/>
        </w:rPr>
        <w:t>visant</w:t>
      </w:r>
      <w:r w:rsidR="00433626">
        <w:rPr>
          <w:rFonts w:ascii="Helvetica LT Std Light" w:hAnsi="Helvetica LT Std Light"/>
        </w:rPr>
        <w:t>, pour certains biocides,</w:t>
      </w:r>
      <w:r w:rsidR="00BF59A3" w:rsidRPr="00A4650C">
        <w:rPr>
          <w:rFonts w:ascii="Helvetica LT Std Light" w:hAnsi="Helvetica LT Std Light"/>
        </w:rPr>
        <w:t xml:space="preserve"> </w:t>
      </w:r>
      <w:r w:rsidRPr="00A4650C">
        <w:rPr>
          <w:rFonts w:ascii="Helvetica LT Std Light" w:hAnsi="Helvetica LT Std Light"/>
        </w:rPr>
        <w:t>l’interdiction</w:t>
      </w:r>
      <w:r w:rsidR="00433626">
        <w:rPr>
          <w:rFonts w:ascii="Helvetica LT Std Light" w:hAnsi="Helvetica LT Std Light"/>
        </w:rPr>
        <w:t> :</w:t>
      </w:r>
    </w:p>
    <w:p w14:paraId="179884BB" w14:textId="77777777" w:rsidR="00433626" w:rsidRPr="00433626" w:rsidRDefault="007E1EF1" w:rsidP="0043362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433626">
        <w:rPr>
          <w:rFonts w:ascii="Helvetica LT Std Light" w:hAnsi="Helvetica LT Std Light"/>
        </w:rPr>
        <w:t>de</w:t>
      </w:r>
      <w:proofErr w:type="gramEnd"/>
      <w:r w:rsidRPr="00433626">
        <w:rPr>
          <w:rFonts w:ascii="Helvetica LT Std Light" w:hAnsi="Helvetica LT Std Light"/>
        </w:rPr>
        <w:t xml:space="preserve"> la vente libre-service</w:t>
      </w:r>
      <w:r w:rsidR="00BF59A3" w:rsidRPr="00433626">
        <w:rPr>
          <w:rFonts w:ascii="Helvetica LT Std Light" w:hAnsi="Helvetica LT Std Light"/>
        </w:rPr>
        <w:t>,</w:t>
      </w:r>
      <w:r w:rsidRPr="00433626">
        <w:rPr>
          <w:rFonts w:ascii="Helvetica LT Std Light" w:hAnsi="Helvetica LT Std Light"/>
        </w:rPr>
        <w:t xml:space="preserve"> </w:t>
      </w:r>
    </w:p>
    <w:p w14:paraId="5128C6A9" w14:textId="1D755EA3" w:rsidR="00433626" w:rsidRPr="00433626" w:rsidRDefault="007E1EF1" w:rsidP="0043362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433626">
        <w:rPr>
          <w:rFonts w:ascii="Helvetica LT Std Light" w:hAnsi="Helvetica LT Std Light"/>
        </w:rPr>
        <w:t>de</w:t>
      </w:r>
      <w:proofErr w:type="gramEnd"/>
      <w:r w:rsidRPr="00433626">
        <w:rPr>
          <w:rFonts w:ascii="Helvetica LT Std Light" w:hAnsi="Helvetica LT Std Light"/>
        </w:rPr>
        <w:t xml:space="preserve"> la publicité</w:t>
      </w:r>
      <w:r w:rsidR="00433626">
        <w:rPr>
          <w:rFonts w:ascii="Helvetica LT Std Light" w:hAnsi="Helvetica LT Std Light"/>
        </w:rPr>
        <w:t>,</w:t>
      </w:r>
    </w:p>
    <w:p w14:paraId="245A1B3C" w14:textId="4E444F52" w:rsidR="00433626" w:rsidRPr="00944B3A" w:rsidRDefault="00BF59A3" w:rsidP="0043362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433626">
        <w:rPr>
          <w:rFonts w:ascii="Helvetica LT Std Light" w:hAnsi="Helvetica LT Std Light"/>
        </w:rPr>
        <w:t>et</w:t>
      </w:r>
      <w:proofErr w:type="gramEnd"/>
      <w:r w:rsidR="007E1EF1" w:rsidRPr="00433626">
        <w:rPr>
          <w:rFonts w:ascii="Helvetica LT Std Light" w:hAnsi="Helvetica LT Std Light"/>
        </w:rPr>
        <w:t xml:space="preserve"> des pratiques commerciales </w:t>
      </w:r>
      <w:r w:rsidR="00290ACE" w:rsidRPr="00433626">
        <w:rPr>
          <w:rFonts w:ascii="Helvetica LT Std Light" w:hAnsi="Helvetica LT Std Light"/>
        </w:rPr>
        <w:t>avantageuses</w:t>
      </w:r>
      <w:r w:rsidR="00433626">
        <w:rPr>
          <w:rFonts w:ascii="Helvetica LT Std Light" w:hAnsi="Helvetica LT Std Light"/>
        </w:rPr>
        <w:t xml:space="preserve"> (rabais et ristournes)</w:t>
      </w:r>
      <w:r w:rsidR="00BA713C" w:rsidRPr="00433626">
        <w:rPr>
          <w:rFonts w:ascii="Helvetica LT Std Light" w:hAnsi="Helvetica LT Std Light"/>
        </w:rPr>
        <w:t> ;</w:t>
      </w:r>
      <w:r w:rsidR="007E1EF1" w:rsidRPr="00433626">
        <w:rPr>
          <w:rFonts w:ascii="Helvetica LT Std Light" w:hAnsi="Helvetica LT Std Light"/>
        </w:rPr>
        <w:t xml:space="preserve"> </w:t>
      </w:r>
    </w:p>
    <w:p w14:paraId="2FD39E78" w14:textId="3D6516C8" w:rsidR="00BF59A3" w:rsidRPr="00433626" w:rsidRDefault="004111E9" w:rsidP="00944B3A">
      <w:pPr>
        <w:jc w:val="both"/>
        <w:rPr>
          <w:sz w:val="24"/>
          <w:szCs w:val="24"/>
        </w:rPr>
      </w:pPr>
      <w:proofErr w:type="gramStart"/>
      <w:r>
        <w:rPr>
          <w:rFonts w:ascii="Helvetica LT Std Light" w:hAnsi="Helvetica LT Std Light"/>
        </w:rPr>
        <w:t>l</w:t>
      </w:r>
      <w:r w:rsidR="007E1EF1" w:rsidRPr="00944B3A">
        <w:rPr>
          <w:rFonts w:ascii="Helvetica LT Std Light" w:hAnsi="Helvetica LT Std Light"/>
        </w:rPr>
        <w:t>e</w:t>
      </w:r>
      <w:proofErr w:type="gramEnd"/>
      <w:r w:rsidR="007E1EF1" w:rsidRPr="00944B3A">
        <w:rPr>
          <w:rFonts w:ascii="Helvetica LT Std Light" w:hAnsi="Helvetica LT Std Light"/>
        </w:rPr>
        <w:t xml:space="preserve"> projet de décret </w:t>
      </w:r>
      <w:r w:rsidR="00BF59A3" w:rsidRPr="00944B3A">
        <w:rPr>
          <w:rFonts w:ascii="Helvetica LT Std Light" w:hAnsi="Helvetica LT Std Light"/>
        </w:rPr>
        <w:t xml:space="preserve">qui nous a été présenté le 18 février, </w:t>
      </w:r>
      <w:r w:rsidR="007E1EF1" w:rsidRPr="00944B3A">
        <w:rPr>
          <w:rFonts w:ascii="Helvetica LT Std Light" w:hAnsi="Helvetica LT Std Light"/>
        </w:rPr>
        <w:t xml:space="preserve">ne vise que les </w:t>
      </w:r>
      <w:r w:rsidR="00BF59A3" w:rsidRPr="00944B3A">
        <w:rPr>
          <w:rFonts w:ascii="Helvetica LT Std Light" w:hAnsi="Helvetica LT Std Light"/>
        </w:rPr>
        <w:t>types de</w:t>
      </w:r>
      <w:r w:rsidR="007E1EF1" w:rsidRPr="00944B3A">
        <w:rPr>
          <w:rFonts w:ascii="Helvetica LT Std Light" w:hAnsi="Helvetica LT Std Light"/>
        </w:rPr>
        <w:t xml:space="preserve"> produi</w:t>
      </w:r>
      <w:r w:rsidR="00BF59A3" w:rsidRPr="00944B3A">
        <w:rPr>
          <w:rFonts w:ascii="Helvetica LT Std Light" w:hAnsi="Helvetica LT Std Light"/>
        </w:rPr>
        <w:t>t (TP)</w:t>
      </w:r>
      <w:r w:rsidR="007E1EF1" w:rsidRPr="00944B3A">
        <w:rPr>
          <w:rFonts w:ascii="Helvetica LT Std Light" w:hAnsi="Helvetica LT Std Light"/>
        </w:rPr>
        <w:t xml:space="preserve"> pour lesque</w:t>
      </w:r>
      <w:r w:rsidR="00BF59A3" w:rsidRPr="00944B3A">
        <w:rPr>
          <w:rFonts w:ascii="Helvetica LT Std Light" w:hAnsi="Helvetica LT Std Light"/>
        </w:rPr>
        <w:t>l</w:t>
      </w:r>
      <w:r w:rsidR="007E1EF1" w:rsidRPr="00944B3A">
        <w:rPr>
          <w:rFonts w:ascii="Helvetica LT Std Light" w:hAnsi="Helvetica LT Std Light"/>
        </w:rPr>
        <w:t xml:space="preserve">s la publicité et les pratiques commerciales </w:t>
      </w:r>
      <w:r w:rsidR="00944B3A">
        <w:rPr>
          <w:rFonts w:ascii="Helvetica LT Std Light" w:hAnsi="Helvetica LT Std Light"/>
        </w:rPr>
        <w:t>telles que, les remises, les rabais</w:t>
      </w:r>
      <w:r w:rsidR="00FF2BD7">
        <w:rPr>
          <w:rFonts w:ascii="Helvetica LT Std Light" w:hAnsi="Helvetica LT Std Light"/>
        </w:rPr>
        <w:t>,</w:t>
      </w:r>
      <w:r w:rsidR="00944B3A">
        <w:rPr>
          <w:rFonts w:ascii="Helvetica LT Std Light" w:hAnsi="Helvetica LT Std Light"/>
        </w:rPr>
        <w:t xml:space="preserve"> les ristournes</w:t>
      </w:r>
      <w:r w:rsidR="00FF2BD7">
        <w:rPr>
          <w:rFonts w:ascii="Helvetica LT Std Light" w:hAnsi="Helvetica LT Std Light"/>
        </w:rPr>
        <w:t xml:space="preserve"> </w:t>
      </w:r>
      <w:r w:rsidR="007E1EF1" w:rsidRPr="00944B3A">
        <w:rPr>
          <w:rFonts w:ascii="Helvetica LT Std Light" w:hAnsi="Helvetica LT Std Light"/>
        </w:rPr>
        <w:t xml:space="preserve">seront interdites. </w:t>
      </w:r>
      <w:r w:rsidR="007E1EF1" w:rsidRPr="004111E9">
        <w:rPr>
          <w:rFonts w:ascii="Helvetica LT Std Light" w:hAnsi="Helvetica LT Std Light"/>
          <w:b/>
        </w:rPr>
        <w:t xml:space="preserve">Le report de la mesure la plus protectrice, à savoir l’interdiction de la vente </w:t>
      </w:r>
      <w:r w:rsidR="00D70994" w:rsidRPr="004111E9">
        <w:rPr>
          <w:rFonts w:ascii="Helvetica LT Std Light" w:hAnsi="Helvetica LT Std Light"/>
          <w:b/>
        </w:rPr>
        <w:t xml:space="preserve">en </w:t>
      </w:r>
      <w:r w:rsidR="007E1EF1" w:rsidRPr="004111E9">
        <w:rPr>
          <w:rFonts w:ascii="Helvetica LT Std Light" w:hAnsi="Helvetica LT Std Light"/>
          <w:b/>
        </w:rPr>
        <w:t>libre-service</w:t>
      </w:r>
      <w:r w:rsidR="00BA713C" w:rsidRPr="004111E9">
        <w:rPr>
          <w:rFonts w:ascii="Helvetica LT Std Light" w:hAnsi="Helvetica LT Std Light"/>
          <w:b/>
        </w:rPr>
        <w:t>,</w:t>
      </w:r>
      <w:r w:rsidR="007E1EF1" w:rsidRPr="004111E9">
        <w:rPr>
          <w:rFonts w:ascii="Helvetica LT Std Light" w:hAnsi="Helvetica LT Std Light"/>
          <w:b/>
        </w:rPr>
        <w:t xml:space="preserve"> traduit le manque de volonté du Gouvernement d’encadrer </w:t>
      </w:r>
      <w:r w:rsidR="00BA713C" w:rsidRPr="004111E9">
        <w:rPr>
          <w:rFonts w:ascii="Helvetica LT Std Light" w:hAnsi="Helvetica LT Std Light"/>
          <w:b/>
        </w:rPr>
        <w:t>au plus vite</w:t>
      </w:r>
      <w:r w:rsidR="00AF707C">
        <w:rPr>
          <w:rFonts w:ascii="Helvetica LT Std Light" w:hAnsi="Helvetica LT Std Light"/>
          <w:b/>
        </w:rPr>
        <w:t xml:space="preserve"> et avec la plus grande fermeté</w:t>
      </w:r>
      <w:r w:rsidR="00BA713C" w:rsidRPr="004111E9">
        <w:rPr>
          <w:rFonts w:ascii="Helvetica LT Std Light" w:hAnsi="Helvetica LT Std Light"/>
          <w:b/>
        </w:rPr>
        <w:t xml:space="preserve"> </w:t>
      </w:r>
      <w:r w:rsidR="007E1EF1" w:rsidRPr="004111E9">
        <w:rPr>
          <w:rFonts w:ascii="Helvetica LT Std Light" w:hAnsi="Helvetica LT Std Light"/>
          <w:b/>
        </w:rPr>
        <w:t>la commercialisation de ces produits dangereux.</w:t>
      </w:r>
      <w:r w:rsidR="007E1EF1" w:rsidRPr="00433626">
        <w:rPr>
          <w:sz w:val="24"/>
          <w:szCs w:val="24"/>
        </w:rPr>
        <w:t xml:space="preserve"> </w:t>
      </w:r>
    </w:p>
    <w:p w14:paraId="64733AFB" w14:textId="77777777" w:rsidR="00BA713C" w:rsidRPr="00A4650C" w:rsidRDefault="002748E1" w:rsidP="000D6FFE">
      <w:pPr>
        <w:jc w:val="both"/>
        <w:rPr>
          <w:rFonts w:ascii="Helvetica LT Std Light" w:hAnsi="Helvetica LT Std Light"/>
        </w:rPr>
      </w:pPr>
      <w:r w:rsidRPr="00A4650C">
        <w:rPr>
          <w:rFonts w:ascii="Helvetica LT Std Light" w:hAnsi="Helvetica LT Std Light"/>
        </w:rPr>
        <w:t xml:space="preserve">Face à la faiblesse des mesures </w:t>
      </w:r>
      <w:r w:rsidR="007E1EF1" w:rsidRPr="00A4650C">
        <w:rPr>
          <w:rFonts w:ascii="Helvetica LT Std Light" w:hAnsi="Helvetica LT Std Light"/>
        </w:rPr>
        <w:t>envisagées</w:t>
      </w:r>
      <w:r w:rsidR="00290ACE">
        <w:rPr>
          <w:rFonts w:ascii="Helvetica LT Std Light" w:hAnsi="Helvetica LT Std Light"/>
        </w:rPr>
        <w:t>,</w:t>
      </w:r>
      <w:r w:rsidR="007E1EF1" w:rsidRPr="00A4650C">
        <w:rPr>
          <w:rFonts w:ascii="Helvetica LT Std Light" w:hAnsi="Helvetica LT Std Light"/>
        </w:rPr>
        <w:t xml:space="preserve"> </w:t>
      </w:r>
      <w:r w:rsidRPr="00A4650C">
        <w:rPr>
          <w:rFonts w:ascii="Helvetica LT Std Light" w:hAnsi="Helvetica LT Std Light"/>
        </w:rPr>
        <w:t xml:space="preserve">nous avions formulé plusieurs remarques dont certaines ont été prises en compte. Nous tenons ainsi à souligner l’ajout </w:t>
      </w:r>
      <w:r w:rsidR="00C959E4" w:rsidRPr="00A4650C">
        <w:rPr>
          <w:rFonts w:ascii="Helvetica LT Std Light" w:hAnsi="Helvetica LT Std Light"/>
        </w:rPr>
        <w:t xml:space="preserve">des produits désinfectant les surfaces en contact avec les denrées alimentaires et les aliments pour animaux (TP4) à la liste des produits visés par l’interdiction de la publicité et des pratiques commerciales. </w:t>
      </w:r>
      <w:r w:rsidR="007E1EF1" w:rsidRPr="00A4650C">
        <w:rPr>
          <w:rFonts w:ascii="Helvetica LT Std Light" w:hAnsi="Helvetica LT Std Light"/>
        </w:rPr>
        <w:t xml:space="preserve">Les produits rodenticides (TP14) qui étaient uniquement visés par l’interdiction publicitaire le sont désormais aussi pour l’interdiction des pratiques commerciales. </w:t>
      </w:r>
    </w:p>
    <w:p w14:paraId="33AAA3C6" w14:textId="54AD6FEB" w:rsidR="00852641" w:rsidRPr="004111E9" w:rsidRDefault="00BA713C" w:rsidP="000D6FFE">
      <w:pPr>
        <w:jc w:val="both"/>
        <w:rPr>
          <w:rFonts w:ascii="Helvetica LT Std Light" w:hAnsi="Helvetica LT Std Light"/>
          <w:b/>
        </w:rPr>
      </w:pPr>
      <w:r w:rsidRPr="004111E9">
        <w:rPr>
          <w:rFonts w:ascii="Helvetica LT Std Light" w:hAnsi="Helvetica LT Std Light"/>
          <w:b/>
        </w:rPr>
        <w:t>Plusieurs points restent encore à améliorer, c’est pourquoi nous vous invitons à participer à la consultation publique afin de communiquer massivement nos remarques et nos attentes pour</w:t>
      </w:r>
      <w:r w:rsidR="00BF59A3" w:rsidRPr="004111E9">
        <w:rPr>
          <w:rFonts w:ascii="Helvetica LT Std Light" w:hAnsi="Helvetica LT Std Light"/>
          <w:b/>
        </w:rPr>
        <w:t xml:space="preserve"> rendre le plus protecteur possible ce</w:t>
      </w:r>
      <w:r w:rsidR="00353DE6" w:rsidRPr="004111E9">
        <w:rPr>
          <w:rFonts w:ascii="Helvetica LT Std Light" w:hAnsi="Helvetica LT Std Light"/>
          <w:b/>
        </w:rPr>
        <w:t xml:space="preserve"> décret. </w:t>
      </w:r>
    </w:p>
    <w:p w14:paraId="1CAB7CB7" w14:textId="79DC32FF" w:rsidR="00944B3A" w:rsidRDefault="00944B3A" w:rsidP="000D6FFE">
      <w:pPr>
        <w:jc w:val="both"/>
        <w:rPr>
          <w:rFonts w:ascii="Helvetica LT Std Light" w:hAnsi="Helvetica LT Std Light"/>
        </w:rPr>
      </w:pPr>
    </w:p>
    <w:p w14:paraId="76906E85" w14:textId="2E03D13B" w:rsidR="00D57FCD" w:rsidRDefault="00D57FCD" w:rsidP="000D6FFE">
      <w:pPr>
        <w:jc w:val="both"/>
        <w:rPr>
          <w:rFonts w:ascii="Helvetica LT Std Light" w:hAnsi="Helvetica LT Std Light"/>
        </w:rPr>
      </w:pPr>
    </w:p>
    <w:p w14:paraId="637E9C06" w14:textId="014872EE" w:rsidR="00D57FCD" w:rsidRDefault="00D57FCD" w:rsidP="000D6FFE">
      <w:pPr>
        <w:jc w:val="both"/>
        <w:rPr>
          <w:rFonts w:ascii="Helvetica LT Std Light" w:hAnsi="Helvetica LT Std Light"/>
        </w:rPr>
      </w:pPr>
    </w:p>
    <w:p w14:paraId="29ED2B53" w14:textId="77777777" w:rsidR="00D57FCD" w:rsidRDefault="00D57FCD" w:rsidP="000D6FFE">
      <w:pPr>
        <w:jc w:val="both"/>
        <w:rPr>
          <w:rFonts w:ascii="Helvetica LT Std Light" w:hAnsi="Helvetica LT Std Light"/>
        </w:rPr>
      </w:pPr>
    </w:p>
    <w:p w14:paraId="5C98D3C1" w14:textId="77777777" w:rsidR="00D57FCD" w:rsidRDefault="00D57FCD" w:rsidP="00A4650C">
      <w:pPr>
        <w:jc w:val="both"/>
        <w:rPr>
          <w:rFonts w:ascii="Helvetica LT Std Light" w:hAnsi="Helvetica LT Std Light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A99375" wp14:editId="1BEB93E8">
                <wp:simplePos x="0" y="0"/>
                <wp:positionH relativeFrom="margin">
                  <wp:posOffset>-11430</wp:posOffset>
                </wp:positionH>
                <wp:positionV relativeFrom="paragraph">
                  <wp:posOffset>159799</wp:posOffset>
                </wp:positionV>
                <wp:extent cx="5629275" cy="720090"/>
                <wp:effectExtent l="133350" t="76200" r="142875" b="80010"/>
                <wp:wrapNone/>
                <wp:docPr id="12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720090"/>
                          <a:chOff x="0" y="0"/>
                          <a:chExt cx="5256584" cy="720000"/>
                        </a:xfrm>
                      </wpg:grpSpPr>
                      <wpg:grpSp>
                        <wpg:cNvPr id="13" name="Group 5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5256584" cy="720000"/>
                            <a:chOff x="0" y="0"/>
                            <a:chExt cx="5256584" cy="576064"/>
                          </a:xfrm>
                        </wpg:grpSpPr>
                        <wps:wsp>
                          <wps:cNvPr id="14" name="Rectangle 14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256584" cy="5760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ight Triangle 4">
                            <a:extLst/>
                          </wps:cNvPr>
                          <wps:cNvSpPr/>
                          <wps:spPr>
                            <a:xfrm rot="5400000">
                              <a:off x="72000" y="-72000"/>
                              <a:ext cx="576000" cy="72000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Box 25">
                          <a:extLst/>
                        </wps:cNvPr>
                        <wps:cNvSpPr txBox="1"/>
                        <wps:spPr>
                          <a:xfrm>
                            <a:off x="0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FC86A1" w14:textId="77777777" w:rsidR="00A4650C" w:rsidRDefault="00A4650C" w:rsidP="00A4650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elvetica LT Std" w:hAnsi="Helvetica LT Std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02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" name="Group 6">
                          <a:extLst/>
                        </wpg:cNvPr>
                        <wpg:cNvGrpSpPr/>
                        <wpg:grpSpPr>
                          <a:xfrm>
                            <a:off x="717536" y="82550"/>
                            <a:ext cx="4392309" cy="547262"/>
                            <a:chOff x="717536" y="82550"/>
                            <a:chExt cx="4392309" cy="547262"/>
                          </a:xfrm>
                        </wpg:grpSpPr>
                        <wps:wsp>
                          <wps:cNvPr id="18" name="TextBox 29">
                            <a:extLst/>
                          </wps:cNvPr>
                          <wps:cNvSpPr txBox="1"/>
                          <wps:spPr>
                            <a:xfrm>
                              <a:off x="717550" y="82550"/>
                              <a:ext cx="4392295" cy="3028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046922" w14:textId="77777777" w:rsidR="00A4650C" w:rsidRDefault="00A4650C" w:rsidP="00A4650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Helvetica LT Std" w:hAnsi="Helvetica LT Std" w:cs="Arial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  <w:sz w:val="28"/>
                                    <w:szCs w:val="28"/>
                                    <w:lang w:val="fr-CI"/>
                                  </w:rPr>
                                  <w:t>Participation à la consultation publique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" name="TextBox 30">
                            <a:extLst/>
                          </wps:cNvPr>
                          <wps:cNvSpPr txBox="1"/>
                          <wps:spPr>
                            <a:xfrm>
                              <a:off x="717536" y="351184"/>
                              <a:ext cx="4392295" cy="2786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01DEA8" w14:textId="77777777" w:rsidR="00A4650C" w:rsidRPr="00A4650C" w:rsidRDefault="00A4650C" w:rsidP="00A4650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Helvetica LT Std Light" w:eastAsiaTheme="minorHAnsi" w:hAnsi="Helvetica LT Std Light" w:cstheme="minorBidi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A4650C">
                                  <w:rPr>
                                    <w:rFonts w:ascii="Helvetica LT Std Light" w:eastAsiaTheme="minorHAnsi" w:hAnsi="Helvetica LT Std Light" w:cstheme="minorBidi"/>
                                    <w:sz w:val="22"/>
                                    <w:szCs w:val="22"/>
                                    <w:lang w:eastAsia="en-US"/>
                                  </w:rPr>
                                  <w:t>Mode d’emploi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99375" id="_x0000_s1034" style="position:absolute;left:0;text-align:left;margin-left:-.9pt;margin-top:12.6pt;width:443.25pt;height:56.7pt;z-index:251662336;mso-position-horizontal-relative:margin;mso-width-relative:margin;mso-height-relative:margin" coordsize="5256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">
                <v:group id="Group 5" o:spid="_x0000_s1035" style="position:absolute;width:52565;height:7200" coordsize="5256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6" style="position:absolute;width:5256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" fillcolor="window" stroked="f" strokeweight="1pt">
                    <v:shadow on="t" type="perspective" color="black" opacity="26214f" offset="0,0" matrix="66847f,,,66847f"/>
                  </v:rect>
                  <v:shape id="Right Triangle 4" o:spid="_x0000_s1037" type="#_x0000_t6" style="position:absolute;left:720;top:-720;width:5760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" fillcolor="#ed7d31 [3205]" stroked="f" strokeweight="1pt">
                    <v:shadow on="t" type="perspective" color="black" opacity="26214f" offset="0,0" matrix="66847f,,,66847f"/>
                  </v:shape>
                </v:group>
                <v:shape id="TextBox 25" o:spid="_x0000_s1038" type="#_x0000_t202" style="position:absolute;width:533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6FC86A1" w14:textId="77777777" w:rsidR="00A4650C" w:rsidRDefault="00A4650C" w:rsidP="00A4650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Helvetica LT Std" w:hAnsi="Helvetica LT Std" w:cs="Arial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lang w:val="en-US"/>
                          </w:rPr>
                          <w:t>02</w:t>
                        </w:r>
                      </w:p>
                    </w:txbxContent>
                  </v:textbox>
                </v:shape>
                <v:group id="Group 6" o:spid="_x0000_s1039" style="position:absolute;left:7175;top:825;width:43923;height:5473" coordorigin="7175,825" coordsize="43923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Box 29" o:spid="_x0000_s1040" type="#_x0000_t202" style="position:absolute;left:7175;top:825;width:43923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0046922" w14:textId="77777777" w:rsidR="00A4650C" w:rsidRDefault="00A4650C" w:rsidP="00A4650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Helvetica LT Std" w:hAnsi="Helvetica LT Std" w:cs="Arial"/>
                              <w:b/>
                              <w:bCs/>
                              <w:color w:val="404040" w:themeColor="text1" w:themeTint="BF"/>
                              <w:kern w:val="24"/>
                              <w:sz w:val="28"/>
                              <w:szCs w:val="28"/>
                              <w:lang w:val="fr-CI"/>
                            </w:rPr>
                            <w:t>Participation à la consultation publique</w:t>
                          </w:r>
                        </w:p>
                      </w:txbxContent>
                    </v:textbox>
                  </v:shape>
                  <v:shape id="TextBox 30" o:spid="_x0000_s1041" type="#_x0000_t202" style="position:absolute;left:7175;top:3511;width:43923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0701DEA8" w14:textId="77777777" w:rsidR="00A4650C" w:rsidRPr="00A4650C" w:rsidRDefault="00A4650C" w:rsidP="00A4650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elvetica LT Std Light" w:eastAsiaTheme="minorHAnsi" w:hAnsi="Helvetica LT Std Light" w:cstheme="minorBidi"/>
                              <w:sz w:val="22"/>
                              <w:szCs w:val="22"/>
                              <w:lang w:eastAsia="en-US"/>
                            </w:rPr>
                          </w:pPr>
                          <w:r w:rsidRPr="00A4650C">
                            <w:rPr>
                              <w:rFonts w:ascii="Helvetica LT Std Light" w:eastAsiaTheme="minorHAnsi" w:hAnsi="Helvetica LT Std Light" w:cstheme="minorBidi"/>
                              <w:sz w:val="22"/>
                              <w:szCs w:val="22"/>
                              <w:lang w:eastAsia="en-US"/>
                            </w:rPr>
                            <w:t>Mode d’emploi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22135A6" w14:textId="77777777" w:rsidR="00D57FCD" w:rsidRDefault="00D57FCD" w:rsidP="00A4650C">
      <w:pPr>
        <w:jc w:val="both"/>
        <w:rPr>
          <w:rFonts w:ascii="Helvetica LT Std Light" w:hAnsi="Helvetica LT Std Light"/>
        </w:rPr>
      </w:pPr>
    </w:p>
    <w:p w14:paraId="6B65D9D2" w14:textId="77777777" w:rsidR="00D57FCD" w:rsidRDefault="00D57FCD" w:rsidP="00A4650C">
      <w:pPr>
        <w:jc w:val="both"/>
        <w:rPr>
          <w:rFonts w:ascii="Helvetica LT Std Light" w:hAnsi="Helvetica LT Std Light"/>
        </w:rPr>
      </w:pPr>
    </w:p>
    <w:p w14:paraId="7BABD5E7" w14:textId="77777777" w:rsidR="00D57FCD" w:rsidRDefault="00D57FCD" w:rsidP="00A4650C">
      <w:pPr>
        <w:jc w:val="both"/>
        <w:rPr>
          <w:rFonts w:ascii="Helvetica LT Std Light" w:hAnsi="Helvetica LT Std Light"/>
        </w:rPr>
      </w:pPr>
    </w:p>
    <w:p w14:paraId="0D8F6508" w14:textId="3D623584" w:rsidR="00D25CB5" w:rsidRPr="00365E02" w:rsidRDefault="00BA713C" w:rsidP="00A4650C">
      <w:pPr>
        <w:jc w:val="both"/>
        <w:rPr>
          <w:rFonts w:ascii="Helvetica LT Std Light" w:hAnsi="Helvetica LT Std Light"/>
          <w:b/>
        </w:rPr>
      </w:pPr>
      <w:r w:rsidRPr="00365E02">
        <w:rPr>
          <w:rFonts w:ascii="Helvetica LT Std Light" w:hAnsi="Helvetica LT Std Light"/>
        </w:rPr>
        <w:t>La consultation publique sur le projet</w:t>
      </w:r>
      <w:r w:rsidR="005D27A4">
        <w:rPr>
          <w:rFonts w:ascii="Helvetica LT Std Light" w:hAnsi="Helvetica LT Std Light"/>
        </w:rPr>
        <w:t xml:space="preserve"> de</w:t>
      </w:r>
      <w:r w:rsidRPr="00365E02">
        <w:rPr>
          <w:rFonts w:ascii="Helvetica LT Std Light" w:hAnsi="Helvetica LT Std Light"/>
        </w:rPr>
        <w:t xml:space="preserve"> décret </w:t>
      </w:r>
      <w:r w:rsidRPr="00365E02">
        <w:rPr>
          <w:rFonts w:ascii="Helvetica LT Std Light" w:hAnsi="Helvetica LT Std Light"/>
          <w:b/>
        </w:rPr>
        <w:t>a débuté le 14 mars 2019 et s’achèvera le 05 avril 2019.</w:t>
      </w:r>
      <w:r w:rsidR="00A4650C" w:rsidRPr="00365E02">
        <w:rPr>
          <w:rFonts w:ascii="Helvetica LT Std Light" w:hAnsi="Helvetica LT Std Light"/>
          <w:b/>
        </w:rPr>
        <w:t xml:space="preserve"> </w:t>
      </w:r>
      <w:r w:rsidR="00D25CB5" w:rsidRPr="00365E02">
        <w:rPr>
          <w:rFonts w:ascii="Helvetica LT Std Light" w:hAnsi="Helvetica LT Std Light"/>
          <w:b/>
        </w:rPr>
        <w:t>Afin de répondre à la consultation publique :</w:t>
      </w:r>
    </w:p>
    <w:p w14:paraId="5123AADD" w14:textId="5769E9D8" w:rsidR="00D25CB5" w:rsidRPr="00365E02" w:rsidRDefault="00433626" w:rsidP="00CF0F2D">
      <w:pPr>
        <w:pStyle w:val="Paragraphedeliste"/>
        <w:numPr>
          <w:ilvl w:val="0"/>
          <w:numId w:val="7"/>
        </w:numPr>
        <w:spacing w:after="0"/>
        <w:jc w:val="both"/>
        <w:rPr>
          <w:rFonts w:ascii="Helvetica LT Std Light" w:hAnsi="Helvetica LT Std Light"/>
        </w:rPr>
      </w:pPr>
      <w:proofErr w:type="gramStart"/>
      <w:r w:rsidRPr="00365E02">
        <w:rPr>
          <w:rFonts w:ascii="Helvetica LT Std Light" w:hAnsi="Helvetica LT Std Light"/>
        </w:rPr>
        <w:t>rendez</w:t>
      </w:r>
      <w:proofErr w:type="gramEnd"/>
      <w:r w:rsidRPr="00365E02">
        <w:rPr>
          <w:rFonts w:ascii="Helvetica LT Std Light" w:hAnsi="Helvetica LT Std Light"/>
        </w:rPr>
        <w:t>-vous</w:t>
      </w:r>
      <w:r w:rsidR="00D25CB5" w:rsidRPr="00365E02">
        <w:rPr>
          <w:rFonts w:ascii="Helvetica LT Std Light" w:hAnsi="Helvetica LT Std Light"/>
        </w:rPr>
        <w:t xml:space="preserve"> sur la page dédiée sur le site du ministère de la Transition écologique et solidaire, à l’adresse suivante : </w:t>
      </w:r>
    </w:p>
    <w:p w14:paraId="605EBAA6" w14:textId="77777777" w:rsidR="00D25CB5" w:rsidRPr="00B47310" w:rsidRDefault="00644923" w:rsidP="00CF0F2D">
      <w:pPr>
        <w:pStyle w:val="Paragraphedeliste"/>
        <w:spacing w:after="0"/>
        <w:jc w:val="both"/>
        <w:rPr>
          <w:rFonts w:ascii="Helvetica LT Std Light" w:hAnsi="Helvetica LT Std Light"/>
          <w:b/>
          <w:color w:val="ED7D31" w:themeColor="accent2"/>
          <w:u w:val="single"/>
        </w:rPr>
      </w:pPr>
      <w:hyperlink r:id="rId8" w:history="1">
        <w:r w:rsidR="007F63D4" w:rsidRPr="00B47310">
          <w:rPr>
            <w:rFonts w:ascii="Helvetica LT Std Light" w:hAnsi="Helvetica LT Std Light"/>
            <w:b/>
            <w:color w:val="ED7D31" w:themeColor="accent2"/>
            <w:u w:val="single"/>
          </w:rPr>
          <w:t>http://www.consultations-publiques.developpement-durable.gouv.fr/projet-de-decret-relatif-a-l-encadrement-de-a1930.html</w:t>
        </w:r>
      </w:hyperlink>
      <w:r w:rsidR="00365E02" w:rsidRPr="00B47310">
        <w:rPr>
          <w:rFonts w:ascii="Helvetica LT Std Light" w:hAnsi="Helvetica LT Std Light"/>
          <w:b/>
          <w:color w:val="ED7D31" w:themeColor="accent2"/>
          <w:u w:val="single"/>
        </w:rPr>
        <w:t xml:space="preserve"> </w:t>
      </w:r>
    </w:p>
    <w:p w14:paraId="2D2B4E65" w14:textId="3ABC5DB2" w:rsidR="00353DE6" w:rsidRDefault="00D25CB5" w:rsidP="00CF0F2D">
      <w:pPr>
        <w:pStyle w:val="Paragraphedeliste"/>
        <w:numPr>
          <w:ilvl w:val="0"/>
          <w:numId w:val="7"/>
        </w:numPr>
        <w:spacing w:after="0"/>
        <w:jc w:val="both"/>
        <w:rPr>
          <w:rFonts w:ascii="Helvetica LT Std Light" w:hAnsi="Helvetica LT Std Light"/>
        </w:rPr>
      </w:pPr>
      <w:proofErr w:type="gramStart"/>
      <w:r w:rsidRPr="00365E02">
        <w:rPr>
          <w:rFonts w:ascii="Helvetica LT Std Light" w:hAnsi="Helvetica LT Std Light"/>
        </w:rPr>
        <w:t>copie</w:t>
      </w:r>
      <w:r w:rsidR="002B2D0D">
        <w:rPr>
          <w:rFonts w:ascii="Helvetica LT Std Light" w:hAnsi="Helvetica LT Std Light"/>
        </w:rPr>
        <w:t>z</w:t>
      </w:r>
      <w:proofErr w:type="gramEnd"/>
      <w:r w:rsidRPr="00365E02">
        <w:rPr>
          <w:rFonts w:ascii="Helvetica LT Std Light" w:hAnsi="Helvetica LT Std Light"/>
        </w:rPr>
        <w:t xml:space="preserve"> puis colle</w:t>
      </w:r>
      <w:r w:rsidR="002B2D0D">
        <w:rPr>
          <w:rFonts w:ascii="Helvetica LT Std Light" w:hAnsi="Helvetica LT Std Light"/>
        </w:rPr>
        <w:t>z</w:t>
      </w:r>
      <w:r w:rsidRPr="00365E02">
        <w:rPr>
          <w:rFonts w:ascii="Helvetica LT Std Light" w:hAnsi="Helvetica LT Std Light"/>
        </w:rPr>
        <w:t xml:space="preserve"> une partie ou la totalité de nos demandes (complétées des vôtres si vous le souhaitez) dans l’espace dédié situé en bas de page : cliquer sur « Déposer votre commentaire »</w:t>
      </w:r>
    </w:p>
    <w:p w14:paraId="716B353B" w14:textId="6A27D211" w:rsidR="00A522BF" w:rsidRPr="00365E02" w:rsidRDefault="00944B3A" w:rsidP="00CF0F2D">
      <w:pPr>
        <w:pStyle w:val="Paragraphedeliste"/>
        <w:numPr>
          <w:ilvl w:val="0"/>
          <w:numId w:val="7"/>
        </w:numPr>
        <w:spacing w:after="0"/>
        <w:jc w:val="both"/>
        <w:rPr>
          <w:rFonts w:ascii="Helvetica LT Std Light" w:hAnsi="Helvetica LT Std Light"/>
        </w:rPr>
      </w:pPr>
      <w:proofErr w:type="gramStart"/>
      <w:r>
        <w:rPr>
          <w:rFonts w:ascii="Helvetica LT Std Light" w:hAnsi="Helvetica LT Std Light"/>
        </w:rPr>
        <w:t>u</w:t>
      </w:r>
      <w:r w:rsidR="00A522BF">
        <w:rPr>
          <w:rFonts w:ascii="Helvetica LT Std Light" w:hAnsi="Helvetica LT Std Light"/>
        </w:rPr>
        <w:t>ne</w:t>
      </w:r>
      <w:proofErr w:type="gramEnd"/>
      <w:r w:rsidR="00A522BF">
        <w:rPr>
          <w:rFonts w:ascii="Helvetica LT Std Light" w:hAnsi="Helvetica LT Std Light"/>
        </w:rPr>
        <w:t xml:space="preserve"> fois fait</w:t>
      </w:r>
      <w:r w:rsidR="00FF2BD7">
        <w:rPr>
          <w:rFonts w:ascii="Helvetica LT Std Light" w:hAnsi="Helvetica LT Std Light"/>
        </w:rPr>
        <w:t>,</w:t>
      </w:r>
      <w:r w:rsidR="00A522BF">
        <w:rPr>
          <w:rFonts w:ascii="Helvetica LT Std Light" w:hAnsi="Helvetica LT Std Light"/>
        </w:rPr>
        <w:t xml:space="preserve"> n’oubliez pas de nous dire</w:t>
      </w:r>
      <w:r w:rsidR="00744CD2">
        <w:rPr>
          <w:rFonts w:ascii="Helvetica LT Std Light" w:hAnsi="Helvetica LT Std Light"/>
        </w:rPr>
        <w:t xml:space="preserve"> que vous avez pris part à cette consultation : </w:t>
      </w:r>
      <w:bookmarkStart w:id="0" w:name="_Hlk4402484"/>
      <w:r w:rsidR="00744CD2">
        <w:rPr>
          <w:rFonts w:ascii="Helvetica LT Std Light" w:hAnsi="Helvetica LT Std Light"/>
        </w:rPr>
        <w:fldChar w:fldCharType="begin"/>
      </w:r>
      <w:r w:rsidR="00744CD2">
        <w:rPr>
          <w:rFonts w:ascii="Helvetica LT Std Light" w:hAnsi="Helvetica LT Std Light"/>
        </w:rPr>
        <w:instrText xml:space="preserve"> HYPERLINK "</w:instrText>
      </w:r>
      <w:r w:rsidR="00744CD2" w:rsidRPr="00744CD2">
        <w:rPr>
          <w:rFonts w:ascii="Helvetica LT Std Light" w:hAnsi="Helvetica LT Std Light"/>
        </w:rPr>
        <w:instrText>https://landing.mailerlite.com/webforms/landing/e8u0f7</w:instrText>
      </w:r>
      <w:r w:rsidR="00744CD2">
        <w:rPr>
          <w:rFonts w:ascii="Helvetica LT Std Light" w:hAnsi="Helvetica LT Std Light"/>
        </w:rPr>
        <w:instrText xml:space="preserve">" </w:instrText>
      </w:r>
      <w:r w:rsidR="00744CD2">
        <w:rPr>
          <w:rFonts w:ascii="Helvetica LT Std Light" w:hAnsi="Helvetica LT Std Light"/>
        </w:rPr>
        <w:fldChar w:fldCharType="separate"/>
      </w:r>
      <w:r w:rsidR="00744CD2" w:rsidRPr="002868A9">
        <w:rPr>
          <w:rStyle w:val="Lienhypertexte"/>
          <w:rFonts w:ascii="Helvetica LT Std Light" w:hAnsi="Helvetica LT Std Light"/>
        </w:rPr>
        <w:t>https://landing.mailerlite.com/webforms/landing/e8u0f7</w:t>
      </w:r>
      <w:r w:rsidR="00744CD2">
        <w:rPr>
          <w:rFonts w:ascii="Helvetica LT Std Light" w:hAnsi="Helvetica LT Std Light"/>
        </w:rPr>
        <w:fldChar w:fldCharType="end"/>
      </w:r>
      <w:r w:rsidR="00744CD2">
        <w:rPr>
          <w:rFonts w:ascii="Helvetica LT Std Light" w:hAnsi="Helvetica LT Std Light"/>
        </w:rPr>
        <w:t xml:space="preserve"> </w:t>
      </w:r>
      <w:bookmarkEnd w:id="0"/>
    </w:p>
    <w:p w14:paraId="48788699" w14:textId="77777777" w:rsidR="00FF23E9" w:rsidRPr="00D57FCD" w:rsidRDefault="00FF23E9" w:rsidP="00D57FCD">
      <w:pPr>
        <w:ind w:left="360"/>
        <w:jc w:val="both"/>
        <w:rPr>
          <w:sz w:val="28"/>
          <w:szCs w:val="28"/>
        </w:rPr>
      </w:pPr>
    </w:p>
    <w:p w14:paraId="6CF3067A" w14:textId="77777777" w:rsidR="00A4650C" w:rsidRDefault="001279E6" w:rsidP="007F63D4">
      <w:pPr>
        <w:pStyle w:val="Paragraphedeliste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923DB7" wp14:editId="4E2414DD">
                <wp:simplePos x="0" y="0"/>
                <wp:positionH relativeFrom="margin">
                  <wp:posOffset>7620</wp:posOffset>
                </wp:positionH>
                <wp:positionV relativeFrom="paragraph">
                  <wp:posOffset>75979</wp:posOffset>
                </wp:positionV>
                <wp:extent cx="5619750" cy="720090"/>
                <wp:effectExtent l="133350" t="76200" r="133350" b="80010"/>
                <wp:wrapNone/>
                <wp:docPr id="20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720090"/>
                          <a:chOff x="0" y="0"/>
                          <a:chExt cx="5256584" cy="720000"/>
                        </a:xfrm>
                      </wpg:grpSpPr>
                      <wpg:grpSp>
                        <wpg:cNvPr id="21" name="Group 5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5256584" cy="720000"/>
                            <a:chOff x="0" y="0"/>
                            <a:chExt cx="5256584" cy="576064"/>
                          </a:xfrm>
                        </wpg:grpSpPr>
                        <wps:wsp>
                          <wps:cNvPr id="22" name="Rectangle 22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5256584" cy="5760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ight Triangle 4">
                            <a:extLst/>
                          </wps:cNvPr>
                          <wps:cNvSpPr/>
                          <wps:spPr>
                            <a:xfrm rot="5400000">
                              <a:off x="72000" y="-72000"/>
                              <a:ext cx="576000" cy="72000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TextBox 25">
                          <a:extLst/>
                        </wps:cNvPr>
                        <wps:cNvSpPr txBox="1"/>
                        <wps:spPr>
                          <a:xfrm>
                            <a:off x="0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310AF" w14:textId="77777777" w:rsidR="00A4650C" w:rsidRDefault="00A4650C" w:rsidP="00A4650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elvetica LT Std" w:hAnsi="Helvetica LT Std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0</w:t>
                              </w:r>
                              <w:r w:rsidR="00365E02">
                                <w:rPr>
                                  <w:rFonts w:ascii="Helvetica LT Std" w:hAnsi="Helvetica LT Std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TextBox 29">
                          <a:extLst/>
                        </wps:cNvPr>
                        <wps:cNvSpPr txBox="1"/>
                        <wps:spPr>
                          <a:xfrm>
                            <a:off x="717550" y="82550"/>
                            <a:ext cx="4392295" cy="6222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E0C07" w14:textId="77777777" w:rsidR="00A4650C" w:rsidRDefault="00A4650C" w:rsidP="00E125E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elvetica LT Std" w:hAnsi="Helvetica LT Std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28"/>
                                  <w:szCs w:val="28"/>
                                  <w:lang w:val="fr-CI"/>
                                </w:rPr>
                                <w:t>Argumentaires pour répondre à la consultation publique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23DB7" id="_x0000_s1042" style="position:absolute;left:0;text-align:left;margin-left:.6pt;margin-top:6pt;width:442.5pt;height:56.7pt;z-index:251664384;mso-position-horizontal-relative:margin;mso-width-relative:margin;mso-height-relative:margin" coordsize="5256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">
                <v:group id="Group 5" o:spid="_x0000_s1043" style="position:absolute;width:52565;height:7200" coordsize="5256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4" style="position:absolute;width:5256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" fillcolor="window" stroked="f" strokeweight="1pt">
                    <v:shadow on="t" type="perspective" color="black" opacity="26214f" offset="0,0" matrix="66847f,,,66847f"/>
                  </v:rect>
                  <v:shape id="Right Triangle 4" o:spid="_x0000_s1045" type="#_x0000_t6" style="position:absolute;left:720;top:-720;width:5760;height:72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" fillcolor="#ed7d31 [3205]" stroked="f" strokeweight="1pt">
                    <v:shadow on="t" type="perspective" color="black" opacity="26214f" offset="0,0" matrix="66847f,,,66847f"/>
                  </v:shape>
                </v:group>
                <v:shape id="TextBox 25" o:spid="_x0000_s1046" type="#_x0000_t202" style="position:absolute;width:533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B6310AF" w14:textId="77777777" w:rsidR="00A4650C" w:rsidRDefault="00A4650C" w:rsidP="00A4650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Helvetica LT Std" w:hAnsi="Helvetica LT Std" w:cs="Arial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lang w:val="en-US"/>
                          </w:rPr>
                          <w:t>0</w:t>
                        </w:r>
                        <w:r w:rsidR="00365E02">
                          <w:rPr>
                            <w:rFonts w:ascii="Helvetica LT Std" w:hAnsi="Helvetica LT Std" w:cs="Arial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29" o:spid="_x0000_s1047" type="#_x0000_t202" style="position:absolute;left:7175;top:825;width:43923;height:6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5DE0C07" w14:textId="77777777" w:rsidR="00A4650C" w:rsidRDefault="00A4650C" w:rsidP="00E125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Helvetica LT Std" w:hAnsi="Helvetica LT Std" w:cs="Arial"/>
                            <w:b/>
                            <w:bCs/>
                            <w:color w:val="404040" w:themeColor="text1" w:themeTint="BF"/>
                            <w:kern w:val="24"/>
                            <w:sz w:val="28"/>
                            <w:szCs w:val="28"/>
                            <w:lang w:val="fr-CI"/>
                          </w:rPr>
                          <w:t>Argumentaires pour répondre à la consultation publique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4C78D8" w14:textId="77777777" w:rsidR="00A4650C" w:rsidRPr="009E43B6" w:rsidRDefault="00A4650C" w:rsidP="007F63D4">
      <w:pPr>
        <w:pStyle w:val="Paragraphedeliste"/>
        <w:jc w:val="both"/>
        <w:rPr>
          <w:sz w:val="28"/>
          <w:szCs w:val="28"/>
        </w:rPr>
      </w:pPr>
    </w:p>
    <w:p w14:paraId="0AC4E07F" w14:textId="77777777" w:rsidR="00365E02" w:rsidRDefault="00365E02" w:rsidP="00CF0F2D">
      <w:pPr>
        <w:pStyle w:val="Titre2"/>
        <w:spacing w:before="0"/>
        <w:jc w:val="both"/>
        <w:rPr>
          <w:b/>
          <w:color w:val="auto"/>
          <w:sz w:val="24"/>
          <w:szCs w:val="24"/>
        </w:rPr>
      </w:pPr>
    </w:p>
    <w:p w14:paraId="31499967" w14:textId="77777777" w:rsidR="00D57FCD" w:rsidRDefault="00D57FCD" w:rsidP="00CF0F2D">
      <w:pPr>
        <w:pStyle w:val="Titre2"/>
        <w:spacing w:before="0"/>
        <w:jc w:val="both"/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</w:pPr>
    </w:p>
    <w:p w14:paraId="36CC07E0" w14:textId="77777777" w:rsidR="00D57FCD" w:rsidRDefault="00D57FCD" w:rsidP="00CF0F2D">
      <w:pPr>
        <w:pStyle w:val="Titre2"/>
        <w:spacing w:before="0"/>
        <w:jc w:val="both"/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</w:pPr>
    </w:p>
    <w:p w14:paraId="7C43B0F0" w14:textId="59413CF2" w:rsidR="00526E67" w:rsidRPr="00365E02" w:rsidRDefault="00DB5E66" w:rsidP="00CF0F2D">
      <w:pPr>
        <w:pStyle w:val="Titre2"/>
        <w:spacing w:before="0"/>
        <w:jc w:val="both"/>
        <w:rPr>
          <w:rFonts w:ascii="Helvetica LT Std Light" w:eastAsiaTheme="minorHAnsi" w:hAnsi="Helvetica LT Std Light" w:cstheme="minorBidi"/>
          <w:color w:val="auto"/>
          <w:sz w:val="22"/>
          <w:szCs w:val="22"/>
        </w:rPr>
      </w:pPr>
      <w:r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L</w:t>
      </w:r>
      <w:r w:rsidR="007E0D69"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e report </w:t>
      </w:r>
      <w:r w:rsidR="00443101"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injustifié </w:t>
      </w:r>
      <w:r w:rsidR="007E0D69"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de l’</w:t>
      </w:r>
      <w:r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interdiction de </w:t>
      </w:r>
      <w:r w:rsidR="00AC0942"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la vente</w:t>
      </w:r>
      <w:r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 en libre-service</w:t>
      </w:r>
      <w:r w:rsidR="001C5DA3" w:rsidRPr="00365E02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 </w:t>
      </w:r>
      <w:r w:rsidR="001C5DA3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: l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e délai supplémentaire demandé</w:t>
      </w:r>
      <w:r w:rsidR="00013807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,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013807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qui est porté</w:t>
      </w:r>
      <w:r w:rsidR="00FF23E9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probablement</w:t>
      </w:r>
      <w:r w:rsidR="00013807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à 202</w:t>
      </w:r>
      <w:r w:rsidR="00965800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0</w:t>
      </w:r>
      <w:r w:rsidR="00013807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, 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pour interdire 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la vente en libre-service de certaines catégories de produits biocides </w:t>
      </w:r>
      <w:r w:rsidR="00B53F29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n’</w:t>
      </w:r>
      <w:r w:rsidR="00AD4C2E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est </w:t>
      </w:r>
      <w:r w:rsidR="00B53F29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pas </w:t>
      </w:r>
      <w:r w:rsidR="00887A35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acceptable</w:t>
      </w:r>
      <w:r w:rsidR="009354A1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. 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Comment justifier</w:t>
      </w:r>
      <w:r w:rsidR="00443101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ce choix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alors que </w:t>
      </w:r>
      <w:r w:rsidR="00744CD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cela est désormais interdit pour les pesticides à usage amateur dont certaines des molécules sont utilisé</w:t>
      </w:r>
      <w:r w:rsidR="00E125EF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e</w:t>
      </w:r>
      <w:r w:rsidR="00744CD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s dans des biocides (cf. la Loi dite </w:t>
      </w:r>
      <w:proofErr w:type="spellStart"/>
      <w:r w:rsidR="00744CD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Labbé</w:t>
      </w:r>
      <w:proofErr w:type="spellEnd"/>
      <w:r w:rsidR="00744CD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) et que 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des </w:t>
      </w:r>
      <w:r w:rsidR="00443101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mesures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sont prises pour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interdire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la publicité et les pratiques commerciales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?</w:t>
      </w:r>
      <w:r w:rsidR="00BC0515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BC0515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Le</w:t>
      </w:r>
      <w:r w:rsidR="002F030D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 retrait de la vente en libre-service </w:t>
      </w:r>
      <w:r w:rsidR="00526E67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de certains produits biocides </w:t>
      </w:r>
      <w:r w:rsidR="002F030D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constitu</w:t>
      </w:r>
      <w:r w:rsidR="00013807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e pourtant</w:t>
      </w:r>
      <w:r w:rsidR="002F030D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 la mesure la plus protectrice énoncée dans l</w:t>
      </w:r>
      <w:r w:rsidR="00526E67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’article 76 de la</w:t>
      </w:r>
      <w:r w:rsidR="002F030D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 xml:space="preserve"> loi </w:t>
      </w:r>
      <w:proofErr w:type="spellStart"/>
      <w:r w:rsidR="002F030D" w:rsidRPr="00965800">
        <w:rPr>
          <w:rFonts w:ascii="Helvetica LT Std Light" w:eastAsiaTheme="minorHAnsi" w:hAnsi="Helvetica LT Std Light" w:cstheme="minorBidi"/>
          <w:b/>
          <w:color w:val="auto"/>
          <w:sz w:val="22"/>
          <w:szCs w:val="22"/>
        </w:rPr>
        <w:t>Egalim</w:t>
      </w:r>
      <w:proofErr w:type="spellEnd"/>
      <w:r w:rsidR="002F030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.</w:t>
      </w:r>
      <w:r w:rsidR="00A0580E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BC0515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Ce</w:t>
      </w:r>
      <w:r w:rsidR="003D25E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décret</w:t>
      </w:r>
      <w:r w:rsidR="007622F9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CC2E5B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devrait </w:t>
      </w:r>
      <w:r w:rsidR="003D25E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vise</w:t>
      </w:r>
      <w:r w:rsidR="00CC2E5B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r</w:t>
      </w:r>
      <w:r w:rsidR="003D25ED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à</w:t>
      </w:r>
      <w:r w:rsidR="007622F9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diminuer l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’</w:t>
      </w:r>
      <w:r w:rsidR="007622F9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exposition des individus et de l’environnement</w:t>
      </w:r>
      <w:r w:rsidR="0035021B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à </w:t>
      </w:r>
      <w:r w:rsidR="00526E67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c</w:t>
      </w:r>
      <w:r w:rsidR="0035021B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es produits dangereux</w:t>
      </w:r>
      <w:r w:rsidR="00446DBA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. </w:t>
      </w:r>
      <w:r w:rsidR="00D70994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Une réelle volonté d’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éviter les mésusages et la surconsommation (</w:t>
      </w:r>
      <w:r w:rsidR="00EE5590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à l’origine du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développement de résistances)</w:t>
      </w:r>
      <w:r w:rsidR="00EE5590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de</w:t>
      </w:r>
      <w:r w:rsidR="00EE5590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BC0515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ces </w:t>
      </w:r>
      <w:r w:rsidR="0047399A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produits 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achetés librement et sans conseils devraient </w:t>
      </w:r>
      <w:r w:rsidR="00D70994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>pousser le gouvernement</w:t>
      </w:r>
      <w:r w:rsidR="00D70994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 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à prendre des mesures </w:t>
      </w:r>
      <w:r w:rsidR="00CC2E5B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efficaces </w:t>
      </w:r>
      <w:r w:rsidR="00B72212" w:rsidRPr="00365E02">
        <w:rPr>
          <w:rFonts w:ascii="Helvetica LT Std Light" w:eastAsiaTheme="minorHAnsi" w:hAnsi="Helvetica LT Std Light" w:cstheme="minorBidi"/>
          <w:color w:val="auto"/>
          <w:sz w:val="22"/>
          <w:szCs w:val="22"/>
        </w:rPr>
        <w:t xml:space="preserve">sans attendre. </w:t>
      </w:r>
    </w:p>
    <w:p w14:paraId="4BE7DFE6" w14:textId="77777777" w:rsidR="001279E6" w:rsidRDefault="001279E6" w:rsidP="00CF0F2D">
      <w:pPr>
        <w:spacing w:after="0"/>
        <w:jc w:val="both"/>
      </w:pPr>
    </w:p>
    <w:p w14:paraId="043FC911" w14:textId="7631AF8C" w:rsidR="00FF23E9" w:rsidRDefault="009354A1" w:rsidP="00CF0F2D">
      <w:pPr>
        <w:spacing w:after="0"/>
        <w:jc w:val="both"/>
        <w:rPr>
          <w:rFonts w:ascii="Helvetica LT Std Light" w:hAnsi="Helvetica LT Std Light"/>
        </w:rPr>
      </w:pPr>
      <w:r w:rsidRPr="00365E02">
        <w:rPr>
          <w:rFonts w:ascii="Helvetica LT Std Light" w:hAnsi="Helvetica LT Std Light"/>
          <w:b/>
        </w:rPr>
        <w:t>L</w:t>
      </w:r>
      <w:r w:rsidR="00893CC3" w:rsidRPr="00365E02">
        <w:rPr>
          <w:rFonts w:ascii="Helvetica LT Std Light" w:hAnsi="Helvetica LT Std Light"/>
          <w:b/>
        </w:rPr>
        <w:t xml:space="preserve">e problème </w:t>
      </w:r>
      <w:r w:rsidR="00346290" w:rsidRPr="00365E02">
        <w:rPr>
          <w:rFonts w:ascii="Helvetica LT Std Light" w:hAnsi="Helvetica LT Std Light"/>
          <w:b/>
        </w:rPr>
        <w:t xml:space="preserve">de </w:t>
      </w:r>
      <w:r w:rsidR="00893CC3" w:rsidRPr="00365E02">
        <w:rPr>
          <w:rFonts w:ascii="Helvetica LT Std Light" w:hAnsi="Helvetica LT Std Light"/>
          <w:b/>
        </w:rPr>
        <w:t>l’</w:t>
      </w:r>
      <w:r w:rsidRPr="00365E02">
        <w:rPr>
          <w:rFonts w:ascii="Helvetica LT Std Light" w:hAnsi="Helvetica LT Std Light"/>
          <w:b/>
        </w:rPr>
        <w:t>évaluation du risque comme référence</w:t>
      </w:r>
      <w:r w:rsidR="001C5DA3" w:rsidRPr="00365E02">
        <w:rPr>
          <w:rFonts w:ascii="Helvetica LT Std Light" w:hAnsi="Helvetica LT Std Light"/>
          <w:b/>
        </w:rPr>
        <w:t> </w:t>
      </w:r>
      <w:r w:rsidR="001C5DA3" w:rsidRPr="00365E02">
        <w:rPr>
          <w:rFonts w:ascii="Helvetica LT Std Light" w:hAnsi="Helvetica LT Std Light"/>
        </w:rPr>
        <w:t xml:space="preserve">: </w:t>
      </w:r>
      <w:r w:rsidR="00887A35">
        <w:rPr>
          <w:rFonts w:ascii="Helvetica LT Std Light" w:hAnsi="Helvetica LT Std Light"/>
        </w:rPr>
        <w:t xml:space="preserve">il est aussi incompréhensible </w:t>
      </w:r>
      <w:r w:rsidR="00AC0942" w:rsidRPr="00365E02">
        <w:rPr>
          <w:rFonts w:ascii="Helvetica LT Std Light" w:hAnsi="Helvetica LT Std Light"/>
        </w:rPr>
        <w:t>de</w:t>
      </w:r>
      <w:r w:rsidR="00CD08CD" w:rsidRPr="00365E02">
        <w:rPr>
          <w:rFonts w:ascii="Helvetica LT Std Light" w:hAnsi="Helvetica LT Std Light"/>
        </w:rPr>
        <w:t xml:space="preserve"> </w:t>
      </w:r>
      <w:r w:rsidR="009F197D" w:rsidRPr="00365E02">
        <w:rPr>
          <w:rFonts w:ascii="Helvetica LT Std Light" w:hAnsi="Helvetica LT Std Light"/>
        </w:rPr>
        <w:t>conditionner la définition d</w:t>
      </w:r>
      <w:r w:rsidR="00114DD4" w:rsidRPr="00365E02">
        <w:rPr>
          <w:rFonts w:ascii="Helvetica LT Std Light" w:hAnsi="Helvetica LT Std Light"/>
        </w:rPr>
        <w:t xml:space="preserve">es </w:t>
      </w:r>
      <w:r w:rsidR="00A66416" w:rsidRPr="00365E02">
        <w:rPr>
          <w:rFonts w:ascii="Helvetica LT Std Light" w:hAnsi="Helvetica LT Std Light"/>
        </w:rPr>
        <w:t>catégories</w:t>
      </w:r>
      <w:r w:rsidR="00114DD4" w:rsidRPr="00365E02">
        <w:rPr>
          <w:rFonts w:ascii="Helvetica LT Std Light" w:hAnsi="Helvetica LT Std Light"/>
        </w:rPr>
        <w:t xml:space="preserve"> </w:t>
      </w:r>
      <w:r w:rsidR="00635ACD" w:rsidRPr="00365E02">
        <w:rPr>
          <w:rFonts w:ascii="Helvetica LT Std Light" w:hAnsi="Helvetica LT Std Light"/>
        </w:rPr>
        <w:t>de produits biocides</w:t>
      </w:r>
      <w:r w:rsidR="00EE5590" w:rsidRPr="00365E02">
        <w:rPr>
          <w:rFonts w:ascii="Helvetica LT Std Light" w:hAnsi="Helvetica LT Std Light"/>
        </w:rPr>
        <w:t xml:space="preserve"> interdit</w:t>
      </w:r>
      <w:r w:rsidR="00290ACE">
        <w:rPr>
          <w:rFonts w:ascii="Helvetica LT Std Light" w:hAnsi="Helvetica LT Std Light"/>
        </w:rPr>
        <w:t>s</w:t>
      </w:r>
      <w:r w:rsidR="002F030D" w:rsidRPr="00365E02">
        <w:rPr>
          <w:rFonts w:ascii="Helvetica LT Std Light" w:hAnsi="Helvetica LT Std Light"/>
        </w:rPr>
        <w:t xml:space="preserve"> à la vente en libre-service </w:t>
      </w:r>
      <w:r w:rsidR="00A3644F" w:rsidRPr="00365E02">
        <w:rPr>
          <w:rFonts w:ascii="Helvetica LT Std Light" w:hAnsi="Helvetica LT Std Light"/>
        </w:rPr>
        <w:t>à</w:t>
      </w:r>
      <w:r w:rsidR="00434D9F" w:rsidRPr="00365E02">
        <w:rPr>
          <w:rFonts w:ascii="Helvetica LT Std Light" w:hAnsi="Helvetica LT Std Light"/>
        </w:rPr>
        <w:t xml:space="preserve"> un</w:t>
      </w:r>
      <w:r w:rsidR="00DA0FD1" w:rsidRPr="00365E02">
        <w:rPr>
          <w:rFonts w:ascii="Helvetica LT Std Light" w:hAnsi="Helvetica LT Std Light"/>
        </w:rPr>
        <w:t xml:space="preserve"> nouvel</w:t>
      </w:r>
      <w:r w:rsidR="00A66416" w:rsidRPr="00365E02">
        <w:rPr>
          <w:rFonts w:ascii="Helvetica LT Std Light" w:hAnsi="Helvetica LT Std Light"/>
        </w:rPr>
        <w:t xml:space="preserve"> avis de l’Anses</w:t>
      </w:r>
      <w:r w:rsidR="00AC0942" w:rsidRPr="00365E02">
        <w:rPr>
          <w:rFonts w:ascii="Helvetica LT Std Light" w:hAnsi="Helvetica LT Std Light"/>
        </w:rPr>
        <w:t>.</w:t>
      </w:r>
      <w:r w:rsidR="00434D9F" w:rsidRPr="00365E02">
        <w:rPr>
          <w:rFonts w:ascii="Helvetica LT Std Light" w:hAnsi="Helvetica LT Std Light"/>
        </w:rPr>
        <w:t xml:space="preserve"> </w:t>
      </w:r>
      <w:r w:rsidR="002F030D" w:rsidRPr="00365E02">
        <w:rPr>
          <w:rFonts w:ascii="Helvetica LT Std Light" w:hAnsi="Helvetica LT Std Light"/>
        </w:rPr>
        <w:t>L</w:t>
      </w:r>
      <w:r w:rsidR="00696E03" w:rsidRPr="00365E02">
        <w:rPr>
          <w:rFonts w:ascii="Helvetica LT Std Light" w:hAnsi="Helvetica LT Std Light"/>
        </w:rPr>
        <w:t>’A</w:t>
      </w:r>
      <w:r w:rsidR="00A3644F" w:rsidRPr="00365E02">
        <w:rPr>
          <w:rFonts w:ascii="Helvetica LT Std Light" w:hAnsi="Helvetica LT Std Light"/>
        </w:rPr>
        <w:t>gence</w:t>
      </w:r>
      <w:r w:rsidR="001071A0" w:rsidRPr="00365E02">
        <w:rPr>
          <w:rFonts w:ascii="Helvetica LT Std Light" w:hAnsi="Helvetica LT Std Light"/>
        </w:rPr>
        <w:t xml:space="preserve"> sanitaire</w:t>
      </w:r>
      <w:r w:rsidR="00696E03" w:rsidRPr="00365E02">
        <w:rPr>
          <w:rFonts w:ascii="Helvetica LT Std Light" w:hAnsi="Helvetica LT Std Light"/>
        </w:rPr>
        <w:t>, dans le respect des missions d’évaluation qui lui sont attribuées, fournira un avis basé sur l’évaluation du risque.</w:t>
      </w:r>
      <w:r w:rsidR="002F030D" w:rsidRPr="00365E02">
        <w:rPr>
          <w:rFonts w:ascii="Helvetica LT Std Light" w:hAnsi="Helvetica LT Std Light"/>
        </w:rPr>
        <w:t xml:space="preserve"> Or</w:t>
      </w:r>
      <w:r w:rsidR="002F030D" w:rsidRPr="00C16881">
        <w:rPr>
          <w:rFonts w:ascii="Helvetica LT Std Light" w:hAnsi="Helvetica LT Std Light"/>
        </w:rPr>
        <w:t>, i</w:t>
      </w:r>
      <w:r w:rsidR="000E19F4" w:rsidRPr="00C16881">
        <w:rPr>
          <w:rFonts w:ascii="Helvetica LT Std Light" w:hAnsi="Helvetica LT Std Light"/>
        </w:rPr>
        <w:t>l</w:t>
      </w:r>
      <w:r w:rsidR="00B25522" w:rsidRPr="00C16881">
        <w:rPr>
          <w:rFonts w:ascii="Helvetica LT Std Light" w:hAnsi="Helvetica LT Std Light"/>
        </w:rPr>
        <w:t xml:space="preserve"> est </w:t>
      </w:r>
      <w:r w:rsidR="000E19F4" w:rsidRPr="00C16881">
        <w:rPr>
          <w:rFonts w:ascii="Helvetica LT Std Light" w:hAnsi="Helvetica LT Std Light"/>
        </w:rPr>
        <w:t xml:space="preserve">regrettable </w:t>
      </w:r>
      <w:r w:rsidR="00B25522" w:rsidRPr="00C16881">
        <w:rPr>
          <w:rFonts w:ascii="Helvetica LT Std Light" w:hAnsi="Helvetica LT Std Light"/>
        </w:rPr>
        <w:t>de constater que l’évaluation du risque prime</w:t>
      </w:r>
      <w:r w:rsidR="005D07F8" w:rsidRPr="00C16881">
        <w:rPr>
          <w:rFonts w:ascii="Helvetica LT Std Light" w:hAnsi="Helvetica LT Std Light"/>
        </w:rPr>
        <w:t xml:space="preserve"> </w:t>
      </w:r>
      <w:r w:rsidR="00B25522" w:rsidRPr="00C16881">
        <w:rPr>
          <w:rFonts w:ascii="Helvetica LT Std Light" w:hAnsi="Helvetica LT Std Light"/>
        </w:rPr>
        <w:t xml:space="preserve">sur la </w:t>
      </w:r>
      <w:r w:rsidR="00CC2E5B">
        <w:rPr>
          <w:rFonts w:ascii="Helvetica LT Std Light" w:hAnsi="Helvetica LT Std Light"/>
        </w:rPr>
        <w:t xml:space="preserve">prise en compte des </w:t>
      </w:r>
      <w:r w:rsidR="00B25522" w:rsidRPr="00C16881">
        <w:rPr>
          <w:rFonts w:ascii="Helvetica LT Std Light" w:hAnsi="Helvetica LT Std Light"/>
        </w:rPr>
        <w:t>classification</w:t>
      </w:r>
      <w:r w:rsidR="00CC2E5B">
        <w:rPr>
          <w:rFonts w:ascii="Helvetica LT Std Light" w:hAnsi="Helvetica LT Std Light"/>
        </w:rPr>
        <w:t>s</w:t>
      </w:r>
      <w:r w:rsidR="00B25522" w:rsidRPr="00C16881">
        <w:rPr>
          <w:rFonts w:ascii="Helvetica LT Std Light" w:hAnsi="Helvetica LT Std Light"/>
        </w:rPr>
        <w:t xml:space="preserve"> de danger</w:t>
      </w:r>
      <w:r w:rsidR="00FF2BD7">
        <w:rPr>
          <w:rFonts w:ascii="Helvetica LT Std Light" w:hAnsi="Helvetica LT Std Light"/>
        </w:rPr>
        <w:t>s</w:t>
      </w:r>
      <w:r w:rsidR="005D07F8" w:rsidRPr="00C16881">
        <w:rPr>
          <w:rFonts w:ascii="Helvetica LT Std Light" w:hAnsi="Helvetica LT Std Light"/>
        </w:rPr>
        <w:t xml:space="preserve"> </w:t>
      </w:r>
      <w:r w:rsidR="00B25522" w:rsidRPr="00C16881">
        <w:rPr>
          <w:rFonts w:ascii="Helvetica LT Std Light" w:hAnsi="Helvetica LT Std Light"/>
        </w:rPr>
        <w:t>existante</w:t>
      </w:r>
      <w:r w:rsidR="00CC2E5B">
        <w:rPr>
          <w:rFonts w:ascii="Helvetica LT Std Light" w:hAnsi="Helvetica LT Std Light"/>
        </w:rPr>
        <w:t>s</w:t>
      </w:r>
      <w:r w:rsidR="00B25522" w:rsidRPr="00C16881">
        <w:rPr>
          <w:rFonts w:ascii="Helvetica LT Std Light" w:hAnsi="Helvetica LT Std Light"/>
        </w:rPr>
        <w:t xml:space="preserve">. Cette </w:t>
      </w:r>
      <w:r w:rsidR="005F3201" w:rsidRPr="00C16881">
        <w:rPr>
          <w:rFonts w:ascii="Helvetica LT Std Light" w:hAnsi="Helvetica LT Std Light"/>
        </w:rPr>
        <w:t>décision</w:t>
      </w:r>
      <w:r w:rsidR="00B25522" w:rsidRPr="00C16881">
        <w:rPr>
          <w:rFonts w:ascii="Helvetica LT Std Light" w:hAnsi="Helvetica LT Std Light"/>
        </w:rPr>
        <w:t xml:space="preserve"> </w:t>
      </w:r>
      <w:r w:rsidR="00A512B2" w:rsidRPr="00C16881">
        <w:rPr>
          <w:rFonts w:ascii="Helvetica LT Std Light" w:hAnsi="Helvetica LT Std Light"/>
        </w:rPr>
        <w:t xml:space="preserve">laisse à penser que le Gouvernement cherche à retarder l’action, </w:t>
      </w:r>
      <w:r w:rsidR="00B25522" w:rsidRPr="00C16881">
        <w:rPr>
          <w:rFonts w:ascii="Helvetica LT Std Light" w:hAnsi="Helvetica LT Std Light"/>
        </w:rPr>
        <w:t xml:space="preserve">alors que la </w:t>
      </w:r>
      <w:r w:rsidR="00CC2E5B">
        <w:rPr>
          <w:rFonts w:ascii="Helvetica LT Std Light" w:hAnsi="Helvetica LT Std Light"/>
        </w:rPr>
        <w:t xml:space="preserve">prise en compte des </w:t>
      </w:r>
      <w:r w:rsidR="00B25522" w:rsidRPr="00C16881">
        <w:rPr>
          <w:rFonts w:ascii="Helvetica LT Std Light" w:hAnsi="Helvetica LT Std Light"/>
        </w:rPr>
        <w:t>classification</w:t>
      </w:r>
      <w:r w:rsidR="00CC2E5B">
        <w:rPr>
          <w:rFonts w:ascii="Helvetica LT Std Light" w:hAnsi="Helvetica LT Std Light"/>
        </w:rPr>
        <w:t>s</w:t>
      </w:r>
      <w:r w:rsidR="00B25522" w:rsidRPr="00C16881">
        <w:rPr>
          <w:rFonts w:ascii="Helvetica LT Std Light" w:hAnsi="Helvetica LT Std Light"/>
        </w:rPr>
        <w:t xml:space="preserve"> </w:t>
      </w:r>
      <w:r w:rsidR="00DA0FD1" w:rsidRPr="00C16881">
        <w:rPr>
          <w:rFonts w:ascii="Helvetica LT Std Light" w:hAnsi="Helvetica LT Std Light"/>
        </w:rPr>
        <w:t>de dang</w:t>
      </w:r>
      <w:r w:rsidR="001071A0" w:rsidRPr="00C16881">
        <w:rPr>
          <w:rFonts w:ascii="Helvetica LT Std Light" w:hAnsi="Helvetica LT Std Light"/>
        </w:rPr>
        <w:t>er</w:t>
      </w:r>
      <w:r w:rsidR="00DA0FD1" w:rsidRPr="00C16881">
        <w:rPr>
          <w:rFonts w:ascii="Helvetica LT Std Light" w:hAnsi="Helvetica LT Std Light"/>
        </w:rPr>
        <w:t xml:space="preserve"> suffi</w:t>
      </w:r>
      <w:r w:rsidR="00CC2E5B">
        <w:rPr>
          <w:rFonts w:ascii="Helvetica LT Std Light" w:hAnsi="Helvetica LT Std Light"/>
        </w:rPr>
        <w:t>rai</w:t>
      </w:r>
      <w:r w:rsidR="00DA0FD1" w:rsidRPr="00C16881">
        <w:rPr>
          <w:rFonts w:ascii="Helvetica LT Std Light" w:hAnsi="Helvetica LT Std Light"/>
        </w:rPr>
        <w:t>t</w:t>
      </w:r>
      <w:r w:rsidR="001071A0" w:rsidRPr="00C16881">
        <w:rPr>
          <w:rFonts w:ascii="Helvetica LT Std Light" w:hAnsi="Helvetica LT Std Light"/>
        </w:rPr>
        <w:t xml:space="preserve"> à</w:t>
      </w:r>
      <w:r w:rsidR="00B25522" w:rsidRPr="00C16881">
        <w:rPr>
          <w:rFonts w:ascii="Helvetica LT Std Light" w:hAnsi="Helvetica LT Std Light"/>
        </w:rPr>
        <w:t xml:space="preserve"> prendre</w:t>
      </w:r>
      <w:r w:rsidR="00B25522" w:rsidRPr="00365E02">
        <w:rPr>
          <w:rFonts w:ascii="Helvetica LT Std Light" w:hAnsi="Helvetica LT Std Light"/>
        </w:rPr>
        <w:t xml:space="preserve"> les décisions qui s’imposent</w:t>
      </w:r>
      <w:r w:rsidR="00A512B2" w:rsidRPr="00365E02">
        <w:rPr>
          <w:rFonts w:ascii="Helvetica LT Std Light" w:hAnsi="Helvetica LT Std Light"/>
        </w:rPr>
        <w:t>.</w:t>
      </w:r>
      <w:r w:rsidR="00A512B2" w:rsidRPr="005832A8">
        <w:rPr>
          <w:rFonts w:ascii="Helvetica LT Std Light" w:hAnsi="Helvetica LT Std Light"/>
        </w:rPr>
        <w:t xml:space="preserve"> </w:t>
      </w:r>
      <w:r w:rsidR="009F0ABE" w:rsidRPr="005832A8">
        <w:rPr>
          <w:rFonts w:ascii="Helvetica LT Std Light" w:hAnsi="Helvetica LT Std Light"/>
        </w:rPr>
        <w:t>C’est pourquoi</w:t>
      </w:r>
      <w:r w:rsidR="00887A35" w:rsidRPr="005832A8">
        <w:rPr>
          <w:rFonts w:ascii="Helvetica LT Std Light" w:hAnsi="Helvetica LT Std Light"/>
        </w:rPr>
        <w:t xml:space="preserve"> </w:t>
      </w:r>
      <w:r w:rsidR="00013807">
        <w:rPr>
          <w:rFonts w:ascii="Helvetica LT Std Light" w:hAnsi="Helvetica LT Std Light"/>
        </w:rPr>
        <w:t>nous demandons</w:t>
      </w:r>
      <w:r w:rsidR="00EE5590" w:rsidRPr="005832A8">
        <w:rPr>
          <w:rFonts w:ascii="Helvetica LT Std Light" w:hAnsi="Helvetica LT Std Light"/>
        </w:rPr>
        <w:t xml:space="preserve"> au</w:t>
      </w:r>
      <w:r w:rsidR="00A40042" w:rsidRPr="005832A8">
        <w:rPr>
          <w:rFonts w:ascii="Helvetica LT Std Light" w:hAnsi="Helvetica LT Std Light"/>
        </w:rPr>
        <w:t xml:space="preserve"> Gouvernement </w:t>
      </w:r>
      <w:r w:rsidR="00EE5590" w:rsidRPr="005832A8">
        <w:rPr>
          <w:rFonts w:ascii="Helvetica LT Std Light" w:hAnsi="Helvetica LT Std Light"/>
        </w:rPr>
        <w:t xml:space="preserve">de revenir sur sa </w:t>
      </w:r>
      <w:r w:rsidR="00BA440B">
        <w:rPr>
          <w:rFonts w:ascii="Helvetica LT Std Light" w:hAnsi="Helvetica LT Std Light"/>
        </w:rPr>
        <w:t xml:space="preserve">position actuelle </w:t>
      </w:r>
      <w:r w:rsidR="009F0ABE" w:rsidRPr="005832A8">
        <w:rPr>
          <w:rFonts w:ascii="Helvetica LT Std Light" w:hAnsi="Helvetica LT Std Light"/>
        </w:rPr>
        <w:t xml:space="preserve">et </w:t>
      </w:r>
      <w:r w:rsidR="00EE5590" w:rsidRPr="005832A8">
        <w:rPr>
          <w:rFonts w:ascii="Helvetica LT Std Light" w:hAnsi="Helvetica LT Std Light"/>
        </w:rPr>
        <w:t>d’</w:t>
      </w:r>
      <w:r w:rsidR="009F0ABE" w:rsidRPr="005832A8">
        <w:rPr>
          <w:rFonts w:ascii="Helvetica LT Std Light" w:hAnsi="Helvetica LT Std Light"/>
        </w:rPr>
        <w:t xml:space="preserve">agir </w:t>
      </w:r>
      <w:r w:rsidR="0062046E" w:rsidRPr="005832A8">
        <w:rPr>
          <w:rFonts w:ascii="Helvetica LT Std Light" w:hAnsi="Helvetica LT Std Light"/>
        </w:rPr>
        <w:t xml:space="preserve">de manière préventive en </w:t>
      </w:r>
      <w:r w:rsidR="00BA440B">
        <w:rPr>
          <w:rFonts w:ascii="Helvetica LT Std Light" w:hAnsi="Helvetica LT Std Light"/>
        </w:rPr>
        <w:t xml:space="preserve">décidant de </w:t>
      </w:r>
      <w:r w:rsidR="0062046E" w:rsidRPr="005832A8">
        <w:rPr>
          <w:rFonts w:ascii="Helvetica LT Std Light" w:hAnsi="Helvetica LT Std Light"/>
        </w:rPr>
        <w:t>retir</w:t>
      </w:r>
      <w:r w:rsidR="00BA440B">
        <w:rPr>
          <w:rFonts w:ascii="Helvetica LT Std Light" w:hAnsi="Helvetica LT Std Light"/>
        </w:rPr>
        <w:t>er</w:t>
      </w:r>
      <w:r w:rsidR="0062046E" w:rsidRPr="005832A8">
        <w:rPr>
          <w:rFonts w:ascii="Helvetica LT Std Light" w:hAnsi="Helvetica LT Std Light"/>
        </w:rPr>
        <w:t xml:space="preserve"> de la vente en libre-service </w:t>
      </w:r>
      <w:r w:rsidR="00BA440B">
        <w:rPr>
          <w:rFonts w:ascii="Helvetica LT Std Light" w:hAnsi="Helvetica LT Std Light"/>
        </w:rPr>
        <w:t>l</w:t>
      </w:r>
      <w:r w:rsidR="0062046E" w:rsidRPr="005832A8">
        <w:rPr>
          <w:rFonts w:ascii="Helvetica LT Std Light" w:hAnsi="Helvetica LT Std Light"/>
        </w:rPr>
        <w:t xml:space="preserve">es produits contenant des substances classées en raison de leur </w:t>
      </w:r>
      <w:r w:rsidR="00CC2E5B">
        <w:rPr>
          <w:rFonts w:ascii="Helvetica LT Std Light" w:hAnsi="Helvetica LT Std Light"/>
        </w:rPr>
        <w:t xml:space="preserve">toxicité </w:t>
      </w:r>
    </w:p>
    <w:p w14:paraId="17F6872B" w14:textId="77777777" w:rsidR="00FF23E9" w:rsidRDefault="00FF23E9" w:rsidP="00CF0F2D">
      <w:pPr>
        <w:spacing w:after="0"/>
        <w:jc w:val="both"/>
        <w:rPr>
          <w:rFonts w:ascii="Helvetica LT Std Light" w:hAnsi="Helvetica LT Std Light"/>
        </w:rPr>
      </w:pPr>
    </w:p>
    <w:p w14:paraId="57B792F9" w14:textId="77777777" w:rsidR="00FF23E9" w:rsidRDefault="00FF23E9" w:rsidP="00CF0F2D">
      <w:pPr>
        <w:spacing w:after="0"/>
        <w:jc w:val="both"/>
        <w:rPr>
          <w:rFonts w:ascii="Helvetica LT Std Light" w:hAnsi="Helvetica LT Std Light"/>
        </w:rPr>
      </w:pPr>
    </w:p>
    <w:p w14:paraId="423F9BDE" w14:textId="77777777" w:rsidR="00FF23E9" w:rsidRDefault="00FF23E9" w:rsidP="00CF0F2D">
      <w:pPr>
        <w:spacing w:after="0"/>
        <w:jc w:val="both"/>
        <w:rPr>
          <w:rFonts w:ascii="Helvetica LT Std Light" w:hAnsi="Helvetica LT Std Light"/>
        </w:rPr>
      </w:pPr>
    </w:p>
    <w:p w14:paraId="19854603" w14:textId="6B2893AE" w:rsidR="00EE5590" w:rsidRPr="005832A8" w:rsidRDefault="00CC2E5B" w:rsidP="00CF0F2D">
      <w:pPr>
        <w:spacing w:after="0"/>
        <w:jc w:val="both"/>
        <w:rPr>
          <w:rFonts w:ascii="Helvetica LT Std Light" w:hAnsi="Helvetica LT Std Light"/>
          <w:b/>
        </w:rPr>
      </w:pPr>
      <w:proofErr w:type="gramStart"/>
      <w:r>
        <w:rPr>
          <w:rFonts w:ascii="Helvetica LT Std Light" w:hAnsi="Helvetica LT Std Light"/>
        </w:rPr>
        <w:t>aigüe</w:t>
      </w:r>
      <w:proofErr w:type="gramEnd"/>
      <w:r>
        <w:rPr>
          <w:rFonts w:ascii="Helvetica LT Std Light" w:hAnsi="Helvetica LT Std Light"/>
        </w:rPr>
        <w:t xml:space="preserve"> ou chronique pour l’homme</w:t>
      </w:r>
      <w:r w:rsidR="002748E1" w:rsidRPr="005832A8">
        <w:rPr>
          <w:rFonts w:ascii="Helvetica LT Std Light" w:hAnsi="Helvetica LT Std Light"/>
        </w:rPr>
        <w:t xml:space="preserve"> (catégorie</w:t>
      </w:r>
      <w:r>
        <w:rPr>
          <w:rFonts w:ascii="Helvetica LT Std Light" w:hAnsi="Helvetica LT Std Light"/>
        </w:rPr>
        <w:t>s</w:t>
      </w:r>
      <w:r w:rsidR="002E47B7">
        <w:rPr>
          <w:rFonts w:ascii="Helvetica LT Std Light" w:hAnsi="Helvetica LT Std Light"/>
        </w:rPr>
        <w:t xml:space="preserve"> de danger</w:t>
      </w:r>
      <w:r w:rsidR="002748E1" w:rsidRPr="005832A8">
        <w:rPr>
          <w:rFonts w:ascii="Helvetica LT Std Light" w:hAnsi="Helvetica LT Std Light"/>
        </w:rPr>
        <w:t xml:space="preserve"> 1, 2 et 3) et pour l’environnement (catégorie</w:t>
      </w:r>
      <w:r w:rsidR="00E125EF">
        <w:rPr>
          <w:rFonts w:ascii="Helvetica LT Std Light" w:hAnsi="Helvetica LT Std Light"/>
        </w:rPr>
        <w:t>s</w:t>
      </w:r>
      <w:r w:rsidR="002748E1" w:rsidRPr="005832A8">
        <w:rPr>
          <w:rFonts w:ascii="Helvetica LT Std Light" w:hAnsi="Helvetica LT Std Light"/>
        </w:rPr>
        <w:t xml:space="preserve"> </w:t>
      </w:r>
      <w:r w:rsidR="002E47B7">
        <w:rPr>
          <w:rFonts w:ascii="Helvetica LT Std Light" w:hAnsi="Helvetica LT Std Light"/>
        </w:rPr>
        <w:t xml:space="preserve">de danger </w:t>
      </w:r>
      <w:r w:rsidR="002748E1" w:rsidRPr="005832A8">
        <w:rPr>
          <w:rFonts w:ascii="Helvetica LT Std Light" w:hAnsi="Helvetica LT Std Light"/>
        </w:rPr>
        <w:t>1</w:t>
      </w:r>
      <w:r>
        <w:rPr>
          <w:rFonts w:ascii="Helvetica LT Std Light" w:hAnsi="Helvetica LT Std Light"/>
        </w:rPr>
        <w:t xml:space="preserve"> et 2</w:t>
      </w:r>
      <w:r w:rsidR="002748E1" w:rsidRPr="005832A8">
        <w:rPr>
          <w:rFonts w:ascii="Helvetica LT Std Light" w:hAnsi="Helvetica LT Std Light"/>
        </w:rPr>
        <w:t xml:space="preserve">), </w:t>
      </w:r>
      <w:r w:rsidR="0062046E" w:rsidRPr="005832A8">
        <w:rPr>
          <w:rFonts w:ascii="Helvetica LT Std Light" w:hAnsi="Helvetica LT Std Light"/>
        </w:rPr>
        <w:t>ou de leur potentiel perturbateur endocrinien</w:t>
      </w:r>
      <w:r w:rsidR="00A40042" w:rsidRPr="005832A8">
        <w:rPr>
          <w:rFonts w:ascii="Helvetica LT Std Light" w:hAnsi="Helvetica LT Std Light"/>
        </w:rPr>
        <w:t>.</w:t>
      </w:r>
    </w:p>
    <w:p w14:paraId="28DB9132" w14:textId="77777777" w:rsidR="001C5DA3" w:rsidRPr="001C5DA3" w:rsidRDefault="001C5DA3" w:rsidP="00CF0F2D">
      <w:pPr>
        <w:spacing w:after="0"/>
        <w:jc w:val="both"/>
        <w:rPr>
          <w:color w:val="1F3864" w:themeColor="accent1" w:themeShade="80"/>
          <w:sz w:val="24"/>
          <w:szCs w:val="24"/>
        </w:rPr>
      </w:pPr>
    </w:p>
    <w:p w14:paraId="0A5DF62C" w14:textId="379A0378" w:rsidR="001279E6" w:rsidRPr="001279E6" w:rsidRDefault="008F29B3" w:rsidP="00313704">
      <w:pPr>
        <w:jc w:val="both"/>
        <w:rPr>
          <w:rFonts w:ascii="Helvetica LT Std Light" w:hAnsi="Helvetica LT Std Light"/>
        </w:rPr>
      </w:pPr>
      <w:r w:rsidRPr="00365E02">
        <w:rPr>
          <w:rFonts w:ascii="Helvetica LT Std Light" w:hAnsi="Helvetica LT Std Light"/>
          <w:b/>
        </w:rPr>
        <w:t>L</w:t>
      </w:r>
      <w:r w:rsidR="00365E02" w:rsidRPr="00365E02">
        <w:rPr>
          <w:rFonts w:ascii="Helvetica LT Std Light" w:hAnsi="Helvetica LT Std Light"/>
          <w:b/>
        </w:rPr>
        <w:t xml:space="preserve">e nombre insuffisant de </w:t>
      </w:r>
      <w:r w:rsidR="00DB5E66" w:rsidRPr="00365E02">
        <w:rPr>
          <w:rFonts w:ascii="Helvetica LT Std Light" w:hAnsi="Helvetica LT Std Light"/>
          <w:b/>
        </w:rPr>
        <w:t>catégories de produits visés</w:t>
      </w:r>
      <w:r w:rsidR="00365E02" w:rsidRPr="00365E02">
        <w:rPr>
          <w:rFonts w:ascii="Helvetica LT Std Light" w:hAnsi="Helvetica LT Std Light"/>
        </w:rPr>
        <w:t> : t</w:t>
      </w:r>
      <w:r w:rsidRPr="00365E02">
        <w:rPr>
          <w:rFonts w:ascii="Helvetica LT Std Light" w:hAnsi="Helvetica LT Std Light"/>
        </w:rPr>
        <w:t>ous les</w:t>
      </w:r>
      <w:r w:rsidR="00DB5E66" w:rsidRPr="00365E02">
        <w:rPr>
          <w:rFonts w:ascii="Helvetica LT Std Light" w:hAnsi="Helvetica LT Std Light"/>
        </w:rPr>
        <w:t xml:space="preserve"> types de produits </w:t>
      </w:r>
      <w:r w:rsidR="002B7FDA">
        <w:rPr>
          <w:rFonts w:ascii="Helvetica LT Std Light" w:hAnsi="Helvetica LT Std Light"/>
        </w:rPr>
        <w:t xml:space="preserve">biocides </w:t>
      </w:r>
      <w:r w:rsidR="004A23FD">
        <w:rPr>
          <w:rFonts w:ascii="Helvetica LT Std Light" w:hAnsi="Helvetica LT Std Light"/>
        </w:rPr>
        <w:t xml:space="preserve">destinés </w:t>
      </w:r>
      <w:r w:rsidR="002B7FDA">
        <w:rPr>
          <w:rFonts w:ascii="Helvetica LT Std Light" w:hAnsi="Helvetica LT Std Light"/>
        </w:rPr>
        <w:t>aux particuliers</w:t>
      </w:r>
      <w:r w:rsidR="00C150E0" w:rsidRPr="00365E02">
        <w:rPr>
          <w:rFonts w:ascii="Helvetica LT Std Light" w:hAnsi="Helvetica LT Std Light"/>
        </w:rPr>
        <w:t xml:space="preserve"> </w:t>
      </w:r>
      <w:r w:rsidR="00BA440B">
        <w:rPr>
          <w:rFonts w:ascii="Helvetica LT Std Light" w:hAnsi="Helvetica LT Std Light"/>
        </w:rPr>
        <w:t xml:space="preserve">devraient </w:t>
      </w:r>
      <w:r w:rsidR="00C150E0" w:rsidRPr="00365E02">
        <w:rPr>
          <w:rFonts w:ascii="Helvetica LT Std Light" w:hAnsi="Helvetica LT Std Light"/>
        </w:rPr>
        <w:t>être considérés</w:t>
      </w:r>
      <w:r w:rsidRPr="00365E02">
        <w:rPr>
          <w:rFonts w:ascii="Helvetica LT Std Light" w:hAnsi="Helvetica LT Std Light"/>
        </w:rPr>
        <w:t>.</w:t>
      </w:r>
      <w:r w:rsidR="00C10F90">
        <w:rPr>
          <w:rFonts w:ascii="Helvetica LT Std Light" w:hAnsi="Helvetica LT Std Light"/>
        </w:rPr>
        <w:t xml:space="preserve"> Or, l</w:t>
      </w:r>
      <w:r w:rsidRPr="00365E02">
        <w:rPr>
          <w:rFonts w:ascii="Helvetica LT Std Light" w:hAnsi="Helvetica LT Std Light"/>
        </w:rPr>
        <w:t>es décrets</w:t>
      </w:r>
      <w:r w:rsidR="00BA440B">
        <w:rPr>
          <w:rFonts w:ascii="Helvetica LT Std Light" w:hAnsi="Helvetica LT Std Light"/>
        </w:rPr>
        <w:t xml:space="preserve"> proposés</w:t>
      </w:r>
      <w:r w:rsidRPr="00365E02">
        <w:rPr>
          <w:rFonts w:ascii="Helvetica LT Std Light" w:hAnsi="Helvetica LT Std Light"/>
        </w:rPr>
        <w:t xml:space="preserve"> ne visent </w:t>
      </w:r>
      <w:r w:rsidR="00290ACE">
        <w:rPr>
          <w:rFonts w:ascii="Helvetica LT Std Light" w:hAnsi="Helvetica LT Std Light"/>
        </w:rPr>
        <w:t>pas</w:t>
      </w:r>
      <w:r w:rsidR="006B1E27" w:rsidRPr="00365E02">
        <w:rPr>
          <w:rFonts w:ascii="Helvetica LT Std Light" w:hAnsi="Helvetica LT Std Light"/>
        </w:rPr>
        <w:t xml:space="preserve"> </w:t>
      </w:r>
      <w:r w:rsidR="00DB5E66" w:rsidRPr="00365E02">
        <w:rPr>
          <w:rFonts w:ascii="Helvetica LT Std Light" w:hAnsi="Helvetica LT Std Light"/>
        </w:rPr>
        <w:t>les produits pour l’hygiène humaine (TP1)</w:t>
      </w:r>
      <w:r w:rsidR="002748E1" w:rsidRPr="00365E02">
        <w:rPr>
          <w:rFonts w:ascii="Helvetica LT Std Light" w:hAnsi="Helvetica LT Std Light"/>
        </w:rPr>
        <w:t xml:space="preserve"> </w:t>
      </w:r>
      <w:r w:rsidR="00DB5E66" w:rsidRPr="00365E02">
        <w:rPr>
          <w:rFonts w:ascii="Helvetica LT Std Light" w:hAnsi="Helvetica LT Std Light"/>
        </w:rPr>
        <w:t xml:space="preserve">et les répulsifs et appâts (TP19). </w:t>
      </w:r>
      <w:r w:rsidR="00B803F2" w:rsidRPr="00365E02">
        <w:rPr>
          <w:rFonts w:ascii="Helvetica LT Std Light" w:hAnsi="Helvetica LT Std Light"/>
        </w:rPr>
        <w:t>L</w:t>
      </w:r>
      <w:r w:rsidR="00DB5E66" w:rsidRPr="00365E02">
        <w:rPr>
          <w:rFonts w:ascii="Helvetica LT Std Light" w:hAnsi="Helvetica LT Std Light"/>
        </w:rPr>
        <w:t xml:space="preserve">’étude de la composition de certains de </w:t>
      </w:r>
      <w:r w:rsidR="005832A8">
        <w:rPr>
          <w:rFonts w:ascii="Helvetica LT Std Light" w:hAnsi="Helvetica LT Std Light"/>
        </w:rPr>
        <w:t xml:space="preserve">ces </w:t>
      </w:r>
      <w:r w:rsidR="00DB5E66" w:rsidRPr="00365E02">
        <w:rPr>
          <w:rFonts w:ascii="Helvetica LT Std Light" w:hAnsi="Helvetica LT Std Light"/>
        </w:rPr>
        <w:t xml:space="preserve">produits révèle </w:t>
      </w:r>
      <w:r w:rsidR="005832A8">
        <w:rPr>
          <w:rFonts w:ascii="Helvetica LT Std Light" w:hAnsi="Helvetica LT Std Light"/>
        </w:rPr>
        <w:t xml:space="preserve">pourtant </w:t>
      </w:r>
      <w:r w:rsidR="00DB5E66" w:rsidRPr="00365E02">
        <w:rPr>
          <w:rFonts w:ascii="Helvetica LT Std Light" w:hAnsi="Helvetica LT Std Light"/>
        </w:rPr>
        <w:t>la présence de perturbat</w:t>
      </w:r>
      <w:r w:rsidR="00462E30">
        <w:rPr>
          <w:rFonts w:ascii="Helvetica LT Std Light" w:hAnsi="Helvetica LT Std Light"/>
        </w:rPr>
        <w:t>eurs</w:t>
      </w:r>
      <w:r w:rsidR="00DB5E66" w:rsidRPr="00365E02">
        <w:rPr>
          <w:rFonts w:ascii="Helvetica LT Std Light" w:hAnsi="Helvetica LT Std Light"/>
        </w:rPr>
        <w:t xml:space="preserve"> endocriniens suspectés.</w:t>
      </w:r>
      <w:r w:rsidR="00553730" w:rsidRPr="00365E02">
        <w:rPr>
          <w:rFonts w:ascii="Helvetica LT Std Light" w:hAnsi="Helvetica LT Std Light"/>
        </w:rPr>
        <w:t xml:space="preserve"> </w:t>
      </w:r>
      <w:r w:rsidR="00013807" w:rsidRPr="00B47310">
        <w:rPr>
          <w:rFonts w:ascii="Helvetica LT Std Light" w:hAnsi="Helvetica LT Std Light"/>
          <w:b/>
        </w:rPr>
        <w:t xml:space="preserve">Nous attendons </w:t>
      </w:r>
      <w:r w:rsidR="001279E6" w:rsidRPr="00B47310">
        <w:rPr>
          <w:rFonts w:ascii="Helvetica LT Std Light" w:hAnsi="Helvetica LT Std Light"/>
          <w:b/>
        </w:rPr>
        <w:t>du ministère qu’il privilégie une approche par substances actives visant tous les types de produits biocides</w:t>
      </w:r>
      <w:r w:rsidR="00462E30" w:rsidRPr="00B47310">
        <w:rPr>
          <w:rFonts w:ascii="Helvetica LT Std Light" w:hAnsi="Helvetica LT Std Light"/>
          <w:b/>
        </w:rPr>
        <w:t xml:space="preserve"> </w:t>
      </w:r>
      <w:r w:rsidR="001279E6" w:rsidRPr="00B47310">
        <w:rPr>
          <w:rFonts w:ascii="Helvetica LT Std Light" w:hAnsi="Helvetica LT Std Light"/>
          <w:b/>
        </w:rPr>
        <w:t>à usage non professionnel contenant des</w:t>
      </w:r>
      <w:r w:rsidR="00462E30" w:rsidRPr="00B47310">
        <w:rPr>
          <w:rFonts w:ascii="Helvetica LT Std Light" w:hAnsi="Helvetica LT Std Light"/>
          <w:b/>
        </w:rPr>
        <w:t xml:space="preserve"> </w:t>
      </w:r>
      <w:r w:rsidR="001279E6" w:rsidRPr="00B47310">
        <w:rPr>
          <w:rFonts w:ascii="Helvetica LT Std Light" w:hAnsi="Helvetica LT Std Light"/>
          <w:b/>
        </w:rPr>
        <w:t>substances actives classées</w:t>
      </w:r>
      <w:r w:rsidR="002E47B7" w:rsidRPr="00B47310">
        <w:rPr>
          <w:rFonts w:ascii="Helvetica LT Std Light" w:hAnsi="Helvetica LT Std Light"/>
          <w:b/>
        </w:rPr>
        <w:t xml:space="preserve"> </w:t>
      </w:r>
      <w:r w:rsidR="001279E6" w:rsidRPr="00B47310">
        <w:rPr>
          <w:rFonts w:ascii="Helvetica LT Std Light" w:hAnsi="Helvetica LT Std Light"/>
          <w:b/>
        </w:rPr>
        <w:t>cancérogènes, mutagènes et toxiques pour la reproduction, avérés, présumés et suspectés ; des substances perturbatrices endocriniennes</w:t>
      </w:r>
      <w:r w:rsidR="00BA440B" w:rsidRPr="00B47310">
        <w:rPr>
          <w:rFonts w:ascii="Helvetica LT Std Light" w:hAnsi="Helvetica LT Std Light"/>
          <w:b/>
        </w:rPr>
        <w:t xml:space="preserve"> avérées ou</w:t>
      </w:r>
      <w:r w:rsidR="001279E6" w:rsidRPr="00B47310">
        <w:rPr>
          <w:rFonts w:ascii="Helvetica LT Std Light" w:hAnsi="Helvetica LT Std Light"/>
          <w:b/>
        </w:rPr>
        <w:t> suspectées</w:t>
      </w:r>
      <w:r w:rsidR="002B7FDA" w:rsidRPr="00B47310">
        <w:rPr>
          <w:rFonts w:ascii="Helvetica LT Std Light" w:hAnsi="Helvetica LT Std Light"/>
          <w:b/>
        </w:rPr>
        <w:t xml:space="preserve"> </w:t>
      </w:r>
      <w:r w:rsidR="001279E6" w:rsidRPr="00B47310">
        <w:rPr>
          <w:rFonts w:ascii="Helvetica LT Std Light" w:hAnsi="Helvetica LT Std Light"/>
          <w:b/>
        </w:rPr>
        <w:t>; ou encore</w:t>
      </w:r>
      <w:r w:rsidR="00BA440B" w:rsidRPr="00B47310">
        <w:rPr>
          <w:rFonts w:ascii="Helvetica LT Std Light" w:hAnsi="Helvetica LT Std Light"/>
          <w:b/>
        </w:rPr>
        <w:t xml:space="preserve"> des substances</w:t>
      </w:r>
      <w:r w:rsidR="001279E6" w:rsidRPr="00B47310">
        <w:rPr>
          <w:rFonts w:ascii="Helvetica LT Std Light" w:hAnsi="Helvetica LT Std Light"/>
          <w:b/>
        </w:rPr>
        <w:t xml:space="preserve"> toxiques</w:t>
      </w:r>
      <w:r w:rsidR="00BA440B" w:rsidRPr="00B47310">
        <w:rPr>
          <w:rFonts w:ascii="Helvetica LT Std Light" w:hAnsi="Helvetica LT Std Light"/>
          <w:b/>
        </w:rPr>
        <w:t xml:space="preserve"> pour l’homme </w:t>
      </w:r>
      <w:r w:rsidR="001279E6" w:rsidRPr="00B47310">
        <w:rPr>
          <w:rFonts w:ascii="Helvetica LT Std Light" w:hAnsi="Helvetica LT Std Light"/>
          <w:b/>
        </w:rPr>
        <w:t>(catégorie</w:t>
      </w:r>
      <w:r w:rsidR="00E125EF" w:rsidRPr="00B47310">
        <w:rPr>
          <w:rFonts w:ascii="Helvetica LT Std Light" w:hAnsi="Helvetica LT Std Light"/>
          <w:b/>
        </w:rPr>
        <w:t>s</w:t>
      </w:r>
      <w:r w:rsidR="001279E6" w:rsidRPr="00B47310">
        <w:rPr>
          <w:rFonts w:ascii="Helvetica LT Std Light" w:hAnsi="Helvetica LT Std Light"/>
          <w:b/>
        </w:rPr>
        <w:t xml:space="preserve"> 1, 2,</w:t>
      </w:r>
      <w:r w:rsidR="00B47310">
        <w:rPr>
          <w:rFonts w:ascii="Helvetica LT Std Light" w:hAnsi="Helvetica LT Std Light"/>
          <w:b/>
        </w:rPr>
        <w:t xml:space="preserve"> </w:t>
      </w:r>
      <w:r w:rsidR="001279E6" w:rsidRPr="00B47310">
        <w:rPr>
          <w:rFonts w:ascii="Helvetica LT Std Light" w:hAnsi="Helvetica LT Std Light"/>
          <w:b/>
        </w:rPr>
        <w:t xml:space="preserve">3) </w:t>
      </w:r>
      <w:r w:rsidR="00BA440B" w:rsidRPr="00B47310">
        <w:rPr>
          <w:rFonts w:ascii="Helvetica LT Std Light" w:hAnsi="Helvetica LT Std Light"/>
          <w:b/>
        </w:rPr>
        <w:t>ou</w:t>
      </w:r>
      <w:r w:rsidR="001279E6" w:rsidRPr="00B47310">
        <w:rPr>
          <w:rFonts w:ascii="Helvetica LT Std Light" w:hAnsi="Helvetica LT Std Light"/>
          <w:b/>
        </w:rPr>
        <w:t xml:space="preserve"> pour l’environnement (catégorie</w:t>
      </w:r>
      <w:r w:rsidR="00E125EF" w:rsidRPr="00B47310">
        <w:rPr>
          <w:rFonts w:ascii="Helvetica LT Std Light" w:hAnsi="Helvetica LT Std Light"/>
          <w:b/>
        </w:rPr>
        <w:t>s</w:t>
      </w:r>
      <w:r w:rsidR="001279E6" w:rsidRPr="00B47310">
        <w:rPr>
          <w:rFonts w:ascii="Helvetica LT Std Light" w:hAnsi="Helvetica LT Std Light"/>
          <w:b/>
        </w:rPr>
        <w:t xml:space="preserve"> 1</w:t>
      </w:r>
      <w:r w:rsidR="002E47B7" w:rsidRPr="00B47310">
        <w:rPr>
          <w:rFonts w:ascii="Helvetica LT Std Light" w:hAnsi="Helvetica LT Std Light"/>
          <w:b/>
        </w:rPr>
        <w:t xml:space="preserve"> et 2</w:t>
      </w:r>
      <w:r w:rsidR="001279E6" w:rsidRPr="00B47310">
        <w:rPr>
          <w:rFonts w:ascii="Helvetica LT Std Light" w:hAnsi="Helvetica LT Std Light"/>
          <w:b/>
        </w:rPr>
        <w:t>).</w:t>
      </w:r>
      <w:r w:rsidR="001279E6" w:rsidRPr="00365E02">
        <w:rPr>
          <w:rFonts w:ascii="Helvetica LT Std Light" w:hAnsi="Helvetica LT Std Light"/>
        </w:rPr>
        <w:t xml:space="preserve"> Le choix des catégories de produit doit se baser sur des critères de dangerosité et non sur une analyse du risque</w:t>
      </w:r>
      <w:r w:rsidR="002E47B7">
        <w:rPr>
          <w:rFonts w:ascii="Helvetica LT Std Light" w:hAnsi="Helvetica LT Std Light"/>
        </w:rPr>
        <w:t>, dans une approche basée sur la précaution</w:t>
      </w:r>
      <w:r w:rsidR="001279E6" w:rsidRPr="00365E02">
        <w:rPr>
          <w:rFonts w:ascii="Helvetica LT Std Light" w:hAnsi="Helvetica LT Std Light"/>
        </w:rPr>
        <w:t xml:space="preserve">. </w:t>
      </w:r>
    </w:p>
    <w:p w14:paraId="51B9A2A4" w14:textId="480FB4C6" w:rsidR="00591716" w:rsidRPr="00365E02" w:rsidRDefault="003C0CAA" w:rsidP="00313704">
      <w:pPr>
        <w:jc w:val="both"/>
        <w:rPr>
          <w:rFonts w:ascii="Helvetica LT Std Light" w:hAnsi="Helvetica LT Std Light"/>
        </w:rPr>
      </w:pPr>
      <w:r w:rsidRPr="00365E02">
        <w:rPr>
          <w:rFonts w:ascii="Helvetica LT Std Light" w:hAnsi="Helvetica LT Std Light"/>
          <w:b/>
        </w:rPr>
        <w:t xml:space="preserve">La classe </w:t>
      </w:r>
      <w:r w:rsidR="00290ACE">
        <w:rPr>
          <w:rFonts w:ascii="Helvetica LT Std Light" w:hAnsi="Helvetica LT Std Light"/>
          <w:b/>
        </w:rPr>
        <w:t xml:space="preserve">de </w:t>
      </w:r>
      <w:r w:rsidRPr="00365E02">
        <w:rPr>
          <w:rFonts w:ascii="Helvetica LT Std Light" w:hAnsi="Helvetica LT Std Light"/>
          <w:b/>
        </w:rPr>
        <w:t xml:space="preserve">danger pour la santé doit être un critère </w:t>
      </w:r>
      <w:r w:rsidR="00206B47" w:rsidRPr="00365E02">
        <w:rPr>
          <w:rFonts w:ascii="Helvetica LT Std Light" w:hAnsi="Helvetica LT Std Light"/>
          <w:b/>
        </w:rPr>
        <w:t>mentionné dans le décret</w:t>
      </w:r>
      <w:r w:rsidR="001279E6">
        <w:rPr>
          <w:rFonts w:ascii="Helvetica LT Std Light" w:hAnsi="Helvetica LT Std Light"/>
        </w:rPr>
        <w:t xml:space="preserve"> : pourquoi ne cibler que </w:t>
      </w:r>
      <w:r w:rsidR="00C20579" w:rsidRPr="00365E02">
        <w:rPr>
          <w:rFonts w:ascii="Helvetica LT Std Light" w:hAnsi="Helvetica LT Std Light"/>
        </w:rPr>
        <w:t xml:space="preserve">les catégories </w:t>
      </w:r>
      <w:r w:rsidRPr="00365E02">
        <w:rPr>
          <w:rFonts w:ascii="Helvetica LT Std Light" w:hAnsi="Helvetica LT Std Light"/>
        </w:rPr>
        <w:t>de produits désinfectant</w:t>
      </w:r>
      <w:r w:rsidR="00F36DB5" w:rsidRPr="00365E02">
        <w:rPr>
          <w:rFonts w:ascii="Helvetica LT Std Light" w:hAnsi="Helvetica LT Std Light"/>
        </w:rPr>
        <w:t>s</w:t>
      </w:r>
      <w:r w:rsidRPr="00365E02">
        <w:rPr>
          <w:rFonts w:ascii="Helvetica LT Std Light" w:hAnsi="Helvetica LT Std Light"/>
        </w:rPr>
        <w:t xml:space="preserve"> </w:t>
      </w:r>
      <w:r w:rsidR="00C20579" w:rsidRPr="00365E02">
        <w:rPr>
          <w:rFonts w:ascii="Helvetica LT Std Light" w:hAnsi="Helvetica LT Std Light"/>
        </w:rPr>
        <w:t>TP2</w:t>
      </w:r>
      <w:r w:rsidRPr="00365E02">
        <w:rPr>
          <w:rFonts w:ascii="Helvetica LT Std Light" w:hAnsi="Helvetica LT Std Light"/>
        </w:rPr>
        <w:t xml:space="preserve"> </w:t>
      </w:r>
      <w:r w:rsidR="00BA3986" w:rsidRPr="00365E02">
        <w:rPr>
          <w:rFonts w:ascii="Helvetica LT Std Light" w:hAnsi="Helvetica LT Std Light"/>
        </w:rPr>
        <w:t xml:space="preserve">et TP4 </w:t>
      </w:r>
      <w:r w:rsidR="00C20579" w:rsidRPr="00365E02">
        <w:rPr>
          <w:rFonts w:ascii="Helvetica LT Std Light" w:hAnsi="Helvetica LT Std Light"/>
        </w:rPr>
        <w:t>classés</w:t>
      </w:r>
      <w:r w:rsidRPr="00365E02">
        <w:rPr>
          <w:rFonts w:ascii="Helvetica LT Std Light" w:hAnsi="Helvetica LT Std Light"/>
        </w:rPr>
        <w:t xml:space="preserve"> comme</w:t>
      </w:r>
      <w:r w:rsidR="00C20579" w:rsidRPr="00365E02">
        <w:rPr>
          <w:rFonts w:ascii="Helvetica LT Std Light" w:hAnsi="Helvetica LT Std Light"/>
        </w:rPr>
        <w:t xml:space="preserve"> dangereu</w:t>
      </w:r>
      <w:r w:rsidRPr="00365E02">
        <w:rPr>
          <w:rFonts w:ascii="Helvetica LT Std Light" w:hAnsi="Helvetica LT Std Light"/>
        </w:rPr>
        <w:t>x</w:t>
      </w:r>
      <w:r w:rsidR="00C20579" w:rsidRPr="00365E02">
        <w:rPr>
          <w:rFonts w:ascii="Helvetica LT Std Light" w:hAnsi="Helvetica LT Std Light"/>
        </w:rPr>
        <w:t xml:space="preserve"> pour </w:t>
      </w:r>
      <w:r w:rsidR="00313704" w:rsidRPr="00365E02">
        <w:rPr>
          <w:rFonts w:ascii="Helvetica LT Std Light" w:hAnsi="Helvetica LT Std Light"/>
        </w:rPr>
        <w:t>le milieu aquatique</w:t>
      </w:r>
      <w:r w:rsidR="00C20579" w:rsidRPr="00365E02">
        <w:rPr>
          <w:rFonts w:ascii="Helvetica LT Std Light" w:hAnsi="Helvetica LT Std Light"/>
        </w:rPr>
        <w:t xml:space="preserve"> </w:t>
      </w:r>
      <w:r w:rsidR="00110F8A" w:rsidRPr="00365E02">
        <w:rPr>
          <w:rFonts w:ascii="Helvetica LT Std Light" w:hAnsi="Helvetica LT Std Light"/>
        </w:rPr>
        <w:t>de catégorie 1</w:t>
      </w:r>
      <w:r w:rsidR="00C10F90">
        <w:rPr>
          <w:rFonts w:ascii="Helvetica LT Std Light" w:hAnsi="Helvetica LT Std Light"/>
        </w:rPr>
        <w:t> ?</w:t>
      </w:r>
      <w:r w:rsidRPr="00365E02">
        <w:rPr>
          <w:rFonts w:ascii="Helvetica LT Std Light" w:hAnsi="Helvetica LT Std Light"/>
        </w:rPr>
        <w:t xml:space="preserve"> </w:t>
      </w:r>
      <w:r w:rsidR="00C10F90">
        <w:rPr>
          <w:rFonts w:ascii="Helvetica LT Std Light" w:hAnsi="Helvetica LT Std Light"/>
        </w:rPr>
        <w:t>C</w:t>
      </w:r>
      <w:r w:rsidR="00A4387F" w:rsidRPr="00365E02">
        <w:rPr>
          <w:rFonts w:ascii="Helvetica LT Std Light" w:hAnsi="Helvetica LT Std Light"/>
        </w:rPr>
        <w:t>ertains</w:t>
      </w:r>
      <w:r w:rsidR="00C20579" w:rsidRPr="00365E02">
        <w:rPr>
          <w:rFonts w:ascii="Helvetica LT Std Light" w:hAnsi="Helvetica LT Std Light"/>
        </w:rPr>
        <w:t xml:space="preserve"> </w:t>
      </w:r>
      <w:r w:rsidR="001279E6">
        <w:rPr>
          <w:rFonts w:ascii="Helvetica LT Std Light" w:hAnsi="Helvetica LT Std Light"/>
        </w:rPr>
        <w:t xml:space="preserve">de ces </w:t>
      </w:r>
      <w:r w:rsidR="00C20579" w:rsidRPr="00365E02">
        <w:rPr>
          <w:rFonts w:ascii="Helvetica LT Std Light" w:hAnsi="Helvetica LT Std Light"/>
        </w:rPr>
        <w:t>produits vendus en grande surface</w:t>
      </w:r>
      <w:r w:rsidR="001279E6">
        <w:rPr>
          <w:rFonts w:ascii="Helvetica LT Std Light" w:hAnsi="Helvetica LT Std Light"/>
        </w:rPr>
        <w:t xml:space="preserve"> </w:t>
      </w:r>
      <w:r w:rsidR="00C20579" w:rsidRPr="00365E02">
        <w:rPr>
          <w:rFonts w:ascii="Helvetica LT Std Light" w:hAnsi="Helvetica LT Std Light"/>
        </w:rPr>
        <w:t>contiennent des substances classées</w:t>
      </w:r>
      <w:r w:rsidR="00F65DC3" w:rsidRPr="00365E02">
        <w:rPr>
          <w:rFonts w:ascii="Helvetica LT Std Light" w:hAnsi="Helvetica LT Std Light"/>
        </w:rPr>
        <w:t xml:space="preserve"> dangereuses pour la santé (</w:t>
      </w:r>
      <w:r w:rsidR="002E47B7">
        <w:rPr>
          <w:rFonts w:ascii="Helvetica LT Std Light" w:hAnsi="Helvetica LT Std Light"/>
        </w:rPr>
        <w:t xml:space="preserve">comme : </w:t>
      </w:r>
      <w:r w:rsidR="00F65DC3" w:rsidRPr="00365E02">
        <w:rPr>
          <w:rFonts w:ascii="Helvetica LT Std Light" w:hAnsi="Helvetica LT Std Light"/>
        </w:rPr>
        <w:t xml:space="preserve">toxicité </w:t>
      </w:r>
      <w:r w:rsidR="00591716" w:rsidRPr="00365E02">
        <w:rPr>
          <w:rFonts w:ascii="Helvetica LT Std Light" w:hAnsi="Helvetica LT Std Light"/>
        </w:rPr>
        <w:t>spécifique pour certains organes cibles</w:t>
      </w:r>
      <w:r w:rsidR="00F65DC3" w:rsidRPr="00365E02">
        <w:rPr>
          <w:rFonts w:ascii="Helvetica LT Std Light" w:hAnsi="Helvetica LT Std Light"/>
        </w:rPr>
        <w:t>, catégorie</w:t>
      </w:r>
      <w:r w:rsidR="00591716" w:rsidRPr="00365E02">
        <w:rPr>
          <w:rFonts w:ascii="Helvetica LT Std Light" w:hAnsi="Helvetica LT Std Light"/>
        </w:rPr>
        <w:t xml:space="preserve"> </w:t>
      </w:r>
      <w:r w:rsidR="00F65DC3" w:rsidRPr="00365E02">
        <w:rPr>
          <w:rFonts w:ascii="Helvetica LT Std Light" w:hAnsi="Helvetica LT Std Light"/>
        </w:rPr>
        <w:t xml:space="preserve">3). </w:t>
      </w:r>
      <w:r w:rsidR="0097575F">
        <w:rPr>
          <w:rFonts w:ascii="Helvetica LT Std Light" w:hAnsi="Helvetica LT Std Light"/>
        </w:rPr>
        <w:t>Nous demandons</w:t>
      </w:r>
      <w:r w:rsidR="00F65DC3" w:rsidRPr="00365E02">
        <w:rPr>
          <w:rFonts w:ascii="Helvetica LT Std Light" w:hAnsi="Helvetica LT Std Light"/>
        </w:rPr>
        <w:t xml:space="preserve"> que les critères de danger pour la santé soient </w:t>
      </w:r>
      <w:r w:rsidR="00A564B3">
        <w:rPr>
          <w:rFonts w:ascii="Helvetica LT Std Light" w:hAnsi="Helvetica LT Std Light"/>
        </w:rPr>
        <w:t xml:space="preserve">aussi </w:t>
      </w:r>
      <w:r w:rsidR="00F65DC3" w:rsidRPr="00365E02">
        <w:rPr>
          <w:rFonts w:ascii="Helvetica LT Std Light" w:hAnsi="Helvetica LT Std Light"/>
        </w:rPr>
        <w:t>pris en compte au même titre que ceux pour l</w:t>
      </w:r>
      <w:r w:rsidR="00BA3986" w:rsidRPr="00365E02">
        <w:rPr>
          <w:rFonts w:ascii="Helvetica LT Std Light" w:hAnsi="Helvetica LT Std Light"/>
        </w:rPr>
        <w:t>’environnement (</w:t>
      </w:r>
      <w:r w:rsidR="00F65DC3" w:rsidRPr="00365E02">
        <w:rPr>
          <w:rFonts w:ascii="Helvetica LT Std Light" w:hAnsi="Helvetica LT Std Light"/>
        </w:rPr>
        <w:t>milieu aquatique</w:t>
      </w:r>
      <w:r w:rsidR="00BA3986" w:rsidRPr="00365E02">
        <w:rPr>
          <w:rFonts w:ascii="Helvetica LT Std Light" w:hAnsi="Helvetica LT Std Light"/>
        </w:rPr>
        <w:t>)</w:t>
      </w:r>
      <w:r w:rsidR="001F6ED5">
        <w:rPr>
          <w:rFonts w:ascii="Helvetica LT Std Light" w:hAnsi="Helvetica LT Std Light"/>
        </w:rPr>
        <w:t>,</w:t>
      </w:r>
      <w:bookmarkStart w:id="1" w:name="_GoBack"/>
      <w:bookmarkEnd w:id="1"/>
      <w:r w:rsidR="002E47B7">
        <w:rPr>
          <w:rFonts w:ascii="Helvetica LT Std Light" w:hAnsi="Helvetica LT Std Light"/>
        </w:rPr>
        <w:t xml:space="preserve"> et que pour l’environnement la catégorie 2 soit aussi prise en compte (elle correspond à une mention de danger H 441 : ‘Toxique’ !)</w:t>
      </w:r>
      <w:r w:rsidR="00F65DC3" w:rsidRPr="00365E02">
        <w:rPr>
          <w:rFonts w:ascii="Helvetica LT Std Light" w:hAnsi="Helvetica LT Std Light"/>
        </w:rPr>
        <w:t xml:space="preserve">. </w:t>
      </w:r>
    </w:p>
    <w:p w14:paraId="59A1514E" w14:textId="089E7269" w:rsidR="004664F3" w:rsidRPr="00A564B3" w:rsidRDefault="00CE4617" w:rsidP="000D6FFE">
      <w:pPr>
        <w:jc w:val="both"/>
        <w:rPr>
          <w:rFonts w:ascii="Helvetica LT Std Light" w:hAnsi="Helvetica LT Std Light"/>
        </w:rPr>
      </w:pPr>
      <w:r w:rsidRPr="00365E02">
        <w:rPr>
          <w:rFonts w:ascii="Helvetica LT Std Light" w:hAnsi="Helvetica LT Std Light"/>
          <w:b/>
        </w:rPr>
        <w:t xml:space="preserve">L’absence du ministère de la </w:t>
      </w:r>
      <w:r w:rsidR="001C5DA3" w:rsidRPr="00365E02">
        <w:rPr>
          <w:rFonts w:ascii="Helvetica LT Std Light" w:hAnsi="Helvetica LT Std Light"/>
          <w:b/>
        </w:rPr>
        <w:t>S</w:t>
      </w:r>
      <w:r w:rsidRPr="00365E02">
        <w:rPr>
          <w:rFonts w:ascii="Helvetica LT Std Light" w:hAnsi="Helvetica LT Std Light"/>
          <w:b/>
        </w:rPr>
        <w:t>anté</w:t>
      </w:r>
      <w:r w:rsidR="00365E02" w:rsidRPr="00365E02">
        <w:rPr>
          <w:rFonts w:ascii="Helvetica LT Std Light" w:hAnsi="Helvetica LT Std Light"/>
        </w:rPr>
        <w:t> : l</w:t>
      </w:r>
      <w:r w:rsidR="00183793" w:rsidRPr="00365E02">
        <w:rPr>
          <w:rFonts w:ascii="Helvetica LT Std Light" w:hAnsi="Helvetica LT Std Light"/>
        </w:rPr>
        <w:t xml:space="preserve">a protection de la santé, </w:t>
      </w:r>
      <w:r w:rsidR="00813F70" w:rsidRPr="00365E02">
        <w:rPr>
          <w:rFonts w:ascii="Helvetica LT Std Light" w:hAnsi="Helvetica LT Std Light"/>
        </w:rPr>
        <w:t>de même</w:t>
      </w:r>
      <w:r w:rsidR="00183793" w:rsidRPr="00365E02">
        <w:rPr>
          <w:rFonts w:ascii="Helvetica LT Std Light" w:hAnsi="Helvetica LT Std Light"/>
        </w:rPr>
        <w:t xml:space="preserve"> que </w:t>
      </w:r>
      <w:r w:rsidR="00813F70" w:rsidRPr="00365E02">
        <w:rPr>
          <w:rFonts w:ascii="Helvetica LT Std Light" w:hAnsi="Helvetica LT Std Light"/>
        </w:rPr>
        <w:t xml:space="preserve">celle de </w:t>
      </w:r>
      <w:r w:rsidR="00183793" w:rsidRPr="00365E02">
        <w:rPr>
          <w:rFonts w:ascii="Helvetica LT Std Light" w:hAnsi="Helvetica LT Std Light"/>
        </w:rPr>
        <w:t xml:space="preserve">l’environnement se trouve au cœur </w:t>
      </w:r>
      <w:r w:rsidR="00A564B3">
        <w:rPr>
          <w:rFonts w:ascii="Helvetica LT Std Light" w:hAnsi="Helvetica LT Std Light"/>
        </w:rPr>
        <w:t xml:space="preserve">la démarche. </w:t>
      </w:r>
      <w:r w:rsidR="00101C46">
        <w:rPr>
          <w:rFonts w:ascii="Helvetica LT Std Light" w:hAnsi="Helvetica LT Std Light"/>
        </w:rPr>
        <w:t>Nous nous int</w:t>
      </w:r>
      <w:r w:rsidR="002E47B7">
        <w:rPr>
          <w:rFonts w:ascii="Helvetica LT Std Light" w:hAnsi="Helvetica LT Std Light"/>
        </w:rPr>
        <w:t>e</w:t>
      </w:r>
      <w:r w:rsidR="00101C46">
        <w:rPr>
          <w:rFonts w:ascii="Helvetica LT Std Light" w:hAnsi="Helvetica LT Std Light"/>
        </w:rPr>
        <w:t>r</w:t>
      </w:r>
      <w:r w:rsidR="002E47B7">
        <w:rPr>
          <w:rFonts w:ascii="Helvetica LT Std Light" w:hAnsi="Helvetica LT Std Light"/>
        </w:rPr>
        <w:t>r</w:t>
      </w:r>
      <w:r w:rsidR="00101C46">
        <w:rPr>
          <w:rFonts w:ascii="Helvetica LT Std Light" w:hAnsi="Helvetica LT Std Light"/>
        </w:rPr>
        <w:t>ogeons</w:t>
      </w:r>
      <w:r w:rsidR="00A564B3">
        <w:rPr>
          <w:rFonts w:ascii="Helvetica LT Std Light" w:hAnsi="Helvetica LT Std Light"/>
        </w:rPr>
        <w:t xml:space="preserve"> donc</w:t>
      </w:r>
      <w:r w:rsidR="00183793" w:rsidRPr="00365E02">
        <w:rPr>
          <w:rFonts w:ascii="Helvetica LT Std Light" w:hAnsi="Helvetica LT Std Light"/>
        </w:rPr>
        <w:t xml:space="preserve"> sur l’absence du ministère de la </w:t>
      </w:r>
      <w:r w:rsidR="00290ACE">
        <w:rPr>
          <w:rFonts w:ascii="Helvetica LT Std Light" w:hAnsi="Helvetica LT Std Light"/>
        </w:rPr>
        <w:t>S</w:t>
      </w:r>
      <w:r w:rsidR="00183793" w:rsidRPr="00365E02">
        <w:rPr>
          <w:rFonts w:ascii="Helvetica LT Std Light" w:hAnsi="Helvetica LT Std Light"/>
        </w:rPr>
        <w:t xml:space="preserve">anté dans </w:t>
      </w:r>
      <w:r w:rsidR="008C0670" w:rsidRPr="00365E02">
        <w:rPr>
          <w:rFonts w:ascii="Helvetica LT Std Light" w:hAnsi="Helvetica LT Std Light"/>
        </w:rPr>
        <w:t>le processus d’élaboration</w:t>
      </w:r>
      <w:r w:rsidR="00183793" w:rsidRPr="00365E02">
        <w:rPr>
          <w:rFonts w:ascii="Helvetica LT Std Light" w:hAnsi="Helvetica LT Std Light"/>
        </w:rPr>
        <w:t xml:space="preserve"> de ce décret. </w:t>
      </w:r>
    </w:p>
    <w:sectPr w:rsidR="004664F3" w:rsidRPr="00A564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5983" w14:textId="77777777" w:rsidR="00644923" w:rsidRDefault="00644923" w:rsidP="00B157BF">
      <w:pPr>
        <w:spacing w:after="0" w:line="240" w:lineRule="auto"/>
      </w:pPr>
      <w:r>
        <w:separator/>
      </w:r>
    </w:p>
  </w:endnote>
  <w:endnote w:type="continuationSeparator" w:id="0">
    <w:p w14:paraId="0C38BBB3" w14:textId="77777777" w:rsidR="00644923" w:rsidRDefault="00644923" w:rsidP="00B1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317A" w14:textId="77777777" w:rsidR="00644923" w:rsidRDefault="00644923" w:rsidP="00B157BF">
      <w:pPr>
        <w:spacing w:after="0" w:line="240" w:lineRule="auto"/>
      </w:pPr>
      <w:r>
        <w:separator/>
      </w:r>
    </w:p>
  </w:footnote>
  <w:footnote w:type="continuationSeparator" w:id="0">
    <w:p w14:paraId="73D720C6" w14:textId="77777777" w:rsidR="00644923" w:rsidRDefault="00644923" w:rsidP="00B1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9810" w14:textId="77777777" w:rsidR="00BA3986" w:rsidRDefault="00290A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5BEF155" wp14:editId="693D3B2B">
          <wp:simplePos x="0" y="0"/>
          <wp:positionH relativeFrom="margin">
            <wp:posOffset>3885565</wp:posOffset>
          </wp:positionH>
          <wp:positionV relativeFrom="paragraph">
            <wp:posOffset>-49530</wp:posOffset>
          </wp:positionV>
          <wp:extent cx="1875320" cy="561975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D13D309" wp14:editId="2C93E81F">
          <wp:simplePos x="0" y="0"/>
          <wp:positionH relativeFrom="column">
            <wp:posOffset>-109220</wp:posOffset>
          </wp:positionH>
          <wp:positionV relativeFrom="paragraph">
            <wp:posOffset>-49530</wp:posOffset>
          </wp:positionV>
          <wp:extent cx="1905000" cy="5334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5A4C2" w14:textId="77777777" w:rsidR="00BA3986" w:rsidRDefault="00BA39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CA7"/>
    <w:multiLevelType w:val="hybridMultilevel"/>
    <w:tmpl w:val="DBB43A2E"/>
    <w:lvl w:ilvl="0" w:tplc="9AB0C5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B32"/>
    <w:multiLevelType w:val="hybridMultilevel"/>
    <w:tmpl w:val="72FE1186"/>
    <w:lvl w:ilvl="0" w:tplc="BF84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69DC"/>
    <w:multiLevelType w:val="hybridMultilevel"/>
    <w:tmpl w:val="672ECD1A"/>
    <w:lvl w:ilvl="0" w:tplc="FE06C634">
      <w:numFmt w:val="bullet"/>
      <w:lvlText w:val="-"/>
      <w:lvlJc w:val="left"/>
      <w:pPr>
        <w:ind w:left="720" w:hanging="360"/>
      </w:pPr>
      <w:rPr>
        <w:rFonts w:ascii="Helvetica LT Std Light" w:eastAsiaTheme="minorHAnsi" w:hAnsi="Helvetica LT Std Light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6C07"/>
    <w:multiLevelType w:val="hybridMultilevel"/>
    <w:tmpl w:val="D9A29C10"/>
    <w:lvl w:ilvl="0" w:tplc="115EC13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/>
        <w:color w:val="2F5496" w:themeColor="accent1" w:themeShade="BF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72A50"/>
    <w:multiLevelType w:val="hybridMultilevel"/>
    <w:tmpl w:val="07048D16"/>
    <w:lvl w:ilvl="0" w:tplc="E1B2F8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47805"/>
    <w:multiLevelType w:val="hybridMultilevel"/>
    <w:tmpl w:val="09B4C28E"/>
    <w:lvl w:ilvl="0" w:tplc="FAD8D8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F0044"/>
    <w:multiLevelType w:val="hybridMultilevel"/>
    <w:tmpl w:val="5120B2DA"/>
    <w:lvl w:ilvl="0" w:tplc="4CC22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137367"/>
    <w:multiLevelType w:val="hybridMultilevel"/>
    <w:tmpl w:val="868E6E98"/>
    <w:lvl w:ilvl="0" w:tplc="BB5AFCB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A4"/>
    <w:rsid w:val="00013807"/>
    <w:rsid w:val="000146E8"/>
    <w:rsid w:val="00021E8E"/>
    <w:rsid w:val="0003557C"/>
    <w:rsid w:val="000440E9"/>
    <w:rsid w:val="00071DC8"/>
    <w:rsid w:val="00076E00"/>
    <w:rsid w:val="000C3982"/>
    <w:rsid w:val="000C46A0"/>
    <w:rsid w:val="000C5024"/>
    <w:rsid w:val="000D6FFE"/>
    <w:rsid w:val="000E0C5C"/>
    <w:rsid w:val="000E19F4"/>
    <w:rsid w:val="000F0589"/>
    <w:rsid w:val="000F0CE6"/>
    <w:rsid w:val="000F1783"/>
    <w:rsid w:val="00101C46"/>
    <w:rsid w:val="001071A0"/>
    <w:rsid w:val="001103DC"/>
    <w:rsid w:val="00110F8A"/>
    <w:rsid w:val="00112276"/>
    <w:rsid w:val="00114DD4"/>
    <w:rsid w:val="00123531"/>
    <w:rsid w:val="001279E6"/>
    <w:rsid w:val="00146A8C"/>
    <w:rsid w:val="00174791"/>
    <w:rsid w:val="00183793"/>
    <w:rsid w:val="00183A69"/>
    <w:rsid w:val="001A5B38"/>
    <w:rsid w:val="001A7C2B"/>
    <w:rsid w:val="001C5DA3"/>
    <w:rsid w:val="001F5419"/>
    <w:rsid w:val="001F6ED5"/>
    <w:rsid w:val="001F7A21"/>
    <w:rsid w:val="00206B47"/>
    <w:rsid w:val="00212257"/>
    <w:rsid w:val="002202A5"/>
    <w:rsid w:val="00247987"/>
    <w:rsid w:val="00255B4C"/>
    <w:rsid w:val="00262545"/>
    <w:rsid w:val="00265B6D"/>
    <w:rsid w:val="0027257B"/>
    <w:rsid w:val="002748E1"/>
    <w:rsid w:val="00277A1C"/>
    <w:rsid w:val="00284BE9"/>
    <w:rsid w:val="0028605A"/>
    <w:rsid w:val="00286B25"/>
    <w:rsid w:val="00290ACE"/>
    <w:rsid w:val="00293313"/>
    <w:rsid w:val="002B2D0D"/>
    <w:rsid w:val="002B7FDA"/>
    <w:rsid w:val="002E47B7"/>
    <w:rsid w:val="002E5F37"/>
    <w:rsid w:val="002F030D"/>
    <w:rsid w:val="002F11CC"/>
    <w:rsid w:val="00313704"/>
    <w:rsid w:val="00330C74"/>
    <w:rsid w:val="00331673"/>
    <w:rsid w:val="00346290"/>
    <w:rsid w:val="0035021B"/>
    <w:rsid w:val="00353DE6"/>
    <w:rsid w:val="00360B85"/>
    <w:rsid w:val="00365652"/>
    <w:rsid w:val="00365E02"/>
    <w:rsid w:val="00372CA1"/>
    <w:rsid w:val="00376655"/>
    <w:rsid w:val="003B24CA"/>
    <w:rsid w:val="003C0CAA"/>
    <w:rsid w:val="003D25ED"/>
    <w:rsid w:val="003E4D11"/>
    <w:rsid w:val="003E5C89"/>
    <w:rsid w:val="003F2706"/>
    <w:rsid w:val="003F6FC8"/>
    <w:rsid w:val="0040724A"/>
    <w:rsid w:val="004111E9"/>
    <w:rsid w:val="00416E13"/>
    <w:rsid w:val="004303E8"/>
    <w:rsid w:val="00433626"/>
    <w:rsid w:val="00434D9F"/>
    <w:rsid w:val="004355AB"/>
    <w:rsid w:val="00443101"/>
    <w:rsid w:val="00446DBA"/>
    <w:rsid w:val="004540A7"/>
    <w:rsid w:val="0046166C"/>
    <w:rsid w:val="00462E30"/>
    <w:rsid w:val="004664F3"/>
    <w:rsid w:val="00470CA1"/>
    <w:rsid w:val="00470DF8"/>
    <w:rsid w:val="0047399A"/>
    <w:rsid w:val="00475525"/>
    <w:rsid w:val="004777D8"/>
    <w:rsid w:val="00492802"/>
    <w:rsid w:val="004A23FD"/>
    <w:rsid w:val="004A2499"/>
    <w:rsid w:val="004A2C83"/>
    <w:rsid w:val="004C2A22"/>
    <w:rsid w:val="004D5F2D"/>
    <w:rsid w:val="00504D3F"/>
    <w:rsid w:val="00511EE9"/>
    <w:rsid w:val="005267F0"/>
    <w:rsid w:val="00526E67"/>
    <w:rsid w:val="005327B1"/>
    <w:rsid w:val="00553730"/>
    <w:rsid w:val="00555657"/>
    <w:rsid w:val="005832A8"/>
    <w:rsid w:val="00591716"/>
    <w:rsid w:val="005D07F8"/>
    <w:rsid w:val="005D27A4"/>
    <w:rsid w:val="005E53B3"/>
    <w:rsid w:val="005F3201"/>
    <w:rsid w:val="005F3EFD"/>
    <w:rsid w:val="006064A9"/>
    <w:rsid w:val="0062046E"/>
    <w:rsid w:val="00625A48"/>
    <w:rsid w:val="00635ACD"/>
    <w:rsid w:val="00635F6C"/>
    <w:rsid w:val="00644923"/>
    <w:rsid w:val="00646FF2"/>
    <w:rsid w:val="006546BD"/>
    <w:rsid w:val="006740DE"/>
    <w:rsid w:val="00696E03"/>
    <w:rsid w:val="006B1E27"/>
    <w:rsid w:val="006B6B5D"/>
    <w:rsid w:val="00703466"/>
    <w:rsid w:val="00725C23"/>
    <w:rsid w:val="007427E6"/>
    <w:rsid w:val="00744CD2"/>
    <w:rsid w:val="00761DDF"/>
    <w:rsid w:val="007622F9"/>
    <w:rsid w:val="0078208A"/>
    <w:rsid w:val="00785150"/>
    <w:rsid w:val="007E0D69"/>
    <w:rsid w:val="007E17BA"/>
    <w:rsid w:val="007E1EF1"/>
    <w:rsid w:val="007F0544"/>
    <w:rsid w:val="007F63D4"/>
    <w:rsid w:val="008059FD"/>
    <w:rsid w:val="00811F02"/>
    <w:rsid w:val="00813F70"/>
    <w:rsid w:val="008274EB"/>
    <w:rsid w:val="008301C3"/>
    <w:rsid w:val="008414CF"/>
    <w:rsid w:val="00847B4B"/>
    <w:rsid w:val="00852641"/>
    <w:rsid w:val="008628A4"/>
    <w:rsid w:val="008628C7"/>
    <w:rsid w:val="00886E87"/>
    <w:rsid w:val="00887A35"/>
    <w:rsid w:val="00892808"/>
    <w:rsid w:val="00893822"/>
    <w:rsid w:val="00893CC3"/>
    <w:rsid w:val="008970D7"/>
    <w:rsid w:val="008B1F24"/>
    <w:rsid w:val="008C0670"/>
    <w:rsid w:val="008F0410"/>
    <w:rsid w:val="008F1D92"/>
    <w:rsid w:val="008F29B3"/>
    <w:rsid w:val="008F6B20"/>
    <w:rsid w:val="009354A1"/>
    <w:rsid w:val="00941235"/>
    <w:rsid w:val="0094256D"/>
    <w:rsid w:val="00944B3A"/>
    <w:rsid w:val="00950DC3"/>
    <w:rsid w:val="0096239A"/>
    <w:rsid w:val="00965800"/>
    <w:rsid w:val="0097575F"/>
    <w:rsid w:val="009769D8"/>
    <w:rsid w:val="0098368A"/>
    <w:rsid w:val="00991D6D"/>
    <w:rsid w:val="009969EE"/>
    <w:rsid w:val="009A5E6A"/>
    <w:rsid w:val="009C1822"/>
    <w:rsid w:val="009C2364"/>
    <w:rsid w:val="009E43B6"/>
    <w:rsid w:val="009F0ABE"/>
    <w:rsid w:val="009F197D"/>
    <w:rsid w:val="009F5211"/>
    <w:rsid w:val="00A035E1"/>
    <w:rsid w:val="00A0580E"/>
    <w:rsid w:val="00A145CB"/>
    <w:rsid w:val="00A33D8A"/>
    <w:rsid w:val="00A3644F"/>
    <w:rsid w:val="00A40042"/>
    <w:rsid w:val="00A4387F"/>
    <w:rsid w:val="00A4650C"/>
    <w:rsid w:val="00A512B2"/>
    <w:rsid w:val="00A522BF"/>
    <w:rsid w:val="00A564B3"/>
    <w:rsid w:val="00A66416"/>
    <w:rsid w:val="00AC0942"/>
    <w:rsid w:val="00AD4C2E"/>
    <w:rsid w:val="00AE71DE"/>
    <w:rsid w:val="00AF6E60"/>
    <w:rsid w:val="00AF707C"/>
    <w:rsid w:val="00B04E14"/>
    <w:rsid w:val="00B157BF"/>
    <w:rsid w:val="00B25522"/>
    <w:rsid w:val="00B2581F"/>
    <w:rsid w:val="00B47310"/>
    <w:rsid w:val="00B53F29"/>
    <w:rsid w:val="00B5441C"/>
    <w:rsid w:val="00B72212"/>
    <w:rsid w:val="00B803F2"/>
    <w:rsid w:val="00B916D9"/>
    <w:rsid w:val="00B92B17"/>
    <w:rsid w:val="00BA3986"/>
    <w:rsid w:val="00BA440B"/>
    <w:rsid w:val="00BA59BB"/>
    <w:rsid w:val="00BA713C"/>
    <w:rsid w:val="00BC0515"/>
    <w:rsid w:val="00BD483D"/>
    <w:rsid w:val="00BF59A3"/>
    <w:rsid w:val="00C10F90"/>
    <w:rsid w:val="00C150E0"/>
    <w:rsid w:val="00C16881"/>
    <w:rsid w:val="00C20579"/>
    <w:rsid w:val="00C27947"/>
    <w:rsid w:val="00C72DB7"/>
    <w:rsid w:val="00C918C9"/>
    <w:rsid w:val="00C959E4"/>
    <w:rsid w:val="00CA0DAF"/>
    <w:rsid w:val="00CA3CE9"/>
    <w:rsid w:val="00CA509E"/>
    <w:rsid w:val="00CC2E5B"/>
    <w:rsid w:val="00CD08CD"/>
    <w:rsid w:val="00CD4A30"/>
    <w:rsid w:val="00CE0B0D"/>
    <w:rsid w:val="00CE4617"/>
    <w:rsid w:val="00CF0F2D"/>
    <w:rsid w:val="00CF600E"/>
    <w:rsid w:val="00D11082"/>
    <w:rsid w:val="00D21203"/>
    <w:rsid w:val="00D25CB5"/>
    <w:rsid w:val="00D40547"/>
    <w:rsid w:val="00D57FCD"/>
    <w:rsid w:val="00D63E77"/>
    <w:rsid w:val="00D70994"/>
    <w:rsid w:val="00D748C0"/>
    <w:rsid w:val="00D766CA"/>
    <w:rsid w:val="00D97401"/>
    <w:rsid w:val="00DA0FD1"/>
    <w:rsid w:val="00DA2EDA"/>
    <w:rsid w:val="00DB5E66"/>
    <w:rsid w:val="00DD404B"/>
    <w:rsid w:val="00DF66F7"/>
    <w:rsid w:val="00E02E5F"/>
    <w:rsid w:val="00E07C4F"/>
    <w:rsid w:val="00E125EF"/>
    <w:rsid w:val="00E17BE6"/>
    <w:rsid w:val="00E266B2"/>
    <w:rsid w:val="00E407D3"/>
    <w:rsid w:val="00E5234D"/>
    <w:rsid w:val="00E566D1"/>
    <w:rsid w:val="00E74F23"/>
    <w:rsid w:val="00E8363D"/>
    <w:rsid w:val="00E929A6"/>
    <w:rsid w:val="00E95053"/>
    <w:rsid w:val="00EC2332"/>
    <w:rsid w:val="00EC588D"/>
    <w:rsid w:val="00ED5F2D"/>
    <w:rsid w:val="00ED78D0"/>
    <w:rsid w:val="00EE54A8"/>
    <w:rsid w:val="00EE5590"/>
    <w:rsid w:val="00F36DB5"/>
    <w:rsid w:val="00F45061"/>
    <w:rsid w:val="00F45750"/>
    <w:rsid w:val="00F45B35"/>
    <w:rsid w:val="00F638AF"/>
    <w:rsid w:val="00F64A74"/>
    <w:rsid w:val="00F65DC3"/>
    <w:rsid w:val="00F77D17"/>
    <w:rsid w:val="00F82131"/>
    <w:rsid w:val="00F90BB0"/>
    <w:rsid w:val="00F940BC"/>
    <w:rsid w:val="00FD0768"/>
    <w:rsid w:val="00FF23E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F3E6"/>
  <w15:chartTrackingRefBased/>
  <w15:docId w15:val="{D4CD55AA-9021-4EB9-91DC-62D7A597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1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5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F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6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B5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1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7BF"/>
  </w:style>
  <w:style w:type="paragraph" w:styleId="Pieddepage">
    <w:name w:val="footer"/>
    <w:basedOn w:val="Normal"/>
    <w:link w:val="PieddepageCar"/>
    <w:uiPriority w:val="99"/>
    <w:unhideWhenUsed/>
    <w:rsid w:val="00B15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7BF"/>
  </w:style>
  <w:style w:type="character" w:styleId="Lienhypertexte">
    <w:name w:val="Hyperlink"/>
    <w:basedOn w:val="Policepardfaut"/>
    <w:uiPriority w:val="99"/>
    <w:unhideWhenUsed/>
    <w:rsid w:val="00D25CB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5CB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6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38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8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8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8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8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tions-publiques.developpement-durable.gouv.fr/projet-de-decret-relatif-a-l-encadrement-de-a19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7D49-FE2B-474D-B46E-8A4C2E2E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Générations Futures</dc:creator>
  <cp:keywords/>
  <dc:description/>
  <cp:lastModifiedBy>Générations Futures</cp:lastModifiedBy>
  <cp:revision>16</cp:revision>
  <cp:lastPrinted>2019-03-25T10:55:00Z</cp:lastPrinted>
  <dcterms:created xsi:type="dcterms:W3CDTF">2019-03-25T09:25:00Z</dcterms:created>
  <dcterms:modified xsi:type="dcterms:W3CDTF">2019-03-25T14:01:00Z</dcterms:modified>
</cp:coreProperties>
</file>